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87D" w:rsidRDefault="0009387D" w:rsidP="0009387D">
      <w:pPr>
        <w:pStyle w:val="Titel"/>
      </w:pPr>
      <w:r w:rsidRPr="000050E2">
        <w:rPr>
          <w:noProof/>
          <w:sz w:val="40"/>
          <w:szCs w:val="40"/>
          <w:lang w:eastAsia="nl-NL"/>
        </w:rPr>
        <w:drawing>
          <wp:anchor distT="0" distB="0" distL="0" distR="0" simplePos="0" relativeHeight="251659264" behindDoc="0" locked="0" layoutInCell="1" allowOverlap="0" wp14:anchorId="1CF7DFCA" wp14:editId="6C5119D4">
            <wp:simplePos x="0" y="0"/>
            <wp:positionH relativeFrom="column">
              <wp:posOffset>3642995</wp:posOffset>
            </wp:positionH>
            <wp:positionV relativeFrom="line">
              <wp:posOffset>-24130</wp:posOffset>
            </wp:positionV>
            <wp:extent cx="2381250" cy="485775"/>
            <wp:effectExtent l="0" t="0" r="0" b="9525"/>
            <wp:wrapThrough wrapText="bothSides">
              <wp:wrapPolygon edited="0">
                <wp:start x="0" y="0"/>
                <wp:lineTo x="0" y="21176"/>
                <wp:lineTo x="21427" y="21176"/>
                <wp:lineTo x="21427" y="0"/>
                <wp:lineTo x="0" y="0"/>
              </wp:wrapPolygon>
            </wp:wrapThrough>
            <wp:docPr id="1" name="Afbeelding 1" descr="Logo vrk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rk k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1250" cy="485775"/>
                    </a:xfrm>
                    <a:prstGeom prst="rect">
                      <a:avLst/>
                    </a:prstGeom>
                    <a:noFill/>
                    <a:ln>
                      <a:noFill/>
                    </a:ln>
                  </pic:spPr>
                </pic:pic>
              </a:graphicData>
            </a:graphic>
          </wp:anchor>
        </w:drawing>
      </w:r>
    </w:p>
    <w:p w:rsidR="0009387D" w:rsidRDefault="0009387D" w:rsidP="0009387D">
      <w:pPr>
        <w:pStyle w:val="Titel"/>
      </w:pPr>
    </w:p>
    <w:p w:rsidR="00771AE2" w:rsidRDefault="00771AE2" w:rsidP="0009387D">
      <w:pPr>
        <w:pStyle w:val="Titel"/>
      </w:pPr>
      <w:r>
        <w:t>Ontwerp p</w:t>
      </w:r>
      <w:r w:rsidR="0009387D">
        <w:t xml:space="preserve">rogrammabegroting </w:t>
      </w:r>
    </w:p>
    <w:p w:rsidR="00823C31" w:rsidRDefault="0009387D" w:rsidP="0009387D">
      <w:pPr>
        <w:pStyle w:val="Titel"/>
      </w:pPr>
      <w:r>
        <w:t>201</w:t>
      </w:r>
      <w:r w:rsidR="00E41492">
        <w:t>8</w:t>
      </w:r>
      <w:r w:rsidR="00022CD9">
        <w:t xml:space="preserve"> </w:t>
      </w:r>
      <w:r w:rsidR="00E41492">
        <w:t>–</w:t>
      </w:r>
      <w:r w:rsidR="00022CD9">
        <w:t xml:space="preserve"> 202</w:t>
      </w:r>
      <w:r w:rsidR="00E41492">
        <w:t>1</w:t>
      </w:r>
    </w:p>
    <w:p w:rsidR="00E41492" w:rsidRPr="00E41492" w:rsidRDefault="00E41492" w:rsidP="00E41492"/>
    <w:p w:rsidR="0009387D" w:rsidRDefault="0009387D" w:rsidP="0009387D"/>
    <w:p w:rsidR="001B4283" w:rsidRPr="001B6B60" w:rsidRDefault="001B4283" w:rsidP="001B6B60">
      <w:pPr>
        <w:rPr>
          <w:rFonts w:asciiTheme="majorHAnsi" w:eastAsiaTheme="majorEastAsia" w:hAnsiTheme="majorHAnsi" w:cstheme="majorBidi"/>
          <w:b/>
          <w:bCs/>
          <w:color w:val="365F91" w:themeColor="accent1" w:themeShade="BF"/>
          <w:sz w:val="28"/>
          <w:szCs w:val="28"/>
        </w:rPr>
      </w:pPr>
      <w:bookmarkStart w:id="0" w:name="_Toc436144449"/>
      <w:r>
        <w:br w:type="page"/>
      </w:r>
    </w:p>
    <w:bookmarkEnd w:id="0" w:displacedByCustomXml="next"/>
    <w:bookmarkStart w:id="1" w:name="_Toc436144452" w:displacedByCustomXml="next"/>
    <w:sdt>
      <w:sdtPr>
        <w:rPr>
          <w:rFonts w:asciiTheme="minorHAnsi" w:eastAsiaTheme="minorHAnsi" w:hAnsiTheme="minorHAnsi" w:cstheme="minorBidi"/>
          <w:b w:val="0"/>
          <w:bCs w:val="0"/>
          <w:color w:val="auto"/>
          <w:sz w:val="22"/>
          <w:szCs w:val="22"/>
          <w:lang w:eastAsia="en-US"/>
        </w:rPr>
        <w:id w:val="-1974507472"/>
        <w:docPartObj>
          <w:docPartGallery w:val="Table of Contents"/>
          <w:docPartUnique/>
        </w:docPartObj>
      </w:sdtPr>
      <w:sdtEndPr/>
      <w:sdtContent>
        <w:p w:rsidR="009F49C5" w:rsidRDefault="009F49C5">
          <w:pPr>
            <w:pStyle w:val="Kopvaninhoudsopgave"/>
          </w:pPr>
          <w:r>
            <w:t>Inhoudsopgave</w:t>
          </w:r>
        </w:p>
        <w:p w:rsidR="00CC0327" w:rsidRDefault="005627E9">
          <w:pPr>
            <w:pStyle w:val="Inhopg1"/>
            <w:rPr>
              <w:rFonts w:eastAsiaTheme="minorEastAsia"/>
              <w:noProof/>
              <w:lang w:eastAsia="nl-NL"/>
            </w:rPr>
          </w:pPr>
          <w:r>
            <w:fldChar w:fldCharType="begin"/>
          </w:r>
          <w:r w:rsidR="009F49C5">
            <w:instrText xml:space="preserve"> TOC \o "1-3" \h \z \u </w:instrText>
          </w:r>
          <w:r>
            <w:fldChar w:fldCharType="separate"/>
          </w:r>
          <w:hyperlink w:anchor="_Toc478655802" w:history="1">
            <w:r w:rsidR="00CC0327" w:rsidRPr="00AF1743">
              <w:rPr>
                <w:rStyle w:val="Hyperlink"/>
                <w:noProof/>
              </w:rPr>
              <w:t>1.</w:t>
            </w:r>
            <w:r w:rsidR="00CC0327">
              <w:rPr>
                <w:rFonts w:eastAsiaTheme="minorEastAsia"/>
                <w:noProof/>
                <w:lang w:eastAsia="nl-NL"/>
              </w:rPr>
              <w:tab/>
            </w:r>
            <w:r w:rsidR="00CC0327" w:rsidRPr="00AF1743">
              <w:rPr>
                <w:rStyle w:val="Hyperlink"/>
                <w:noProof/>
              </w:rPr>
              <w:t>Voorwoord</w:t>
            </w:r>
            <w:r w:rsidR="00CC0327">
              <w:rPr>
                <w:noProof/>
                <w:webHidden/>
              </w:rPr>
              <w:tab/>
            </w:r>
            <w:r w:rsidR="00CC0327">
              <w:rPr>
                <w:noProof/>
                <w:webHidden/>
              </w:rPr>
              <w:fldChar w:fldCharType="begin"/>
            </w:r>
            <w:r w:rsidR="00CC0327">
              <w:rPr>
                <w:noProof/>
                <w:webHidden/>
              </w:rPr>
              <w:instrText xml:space="preserve"> PAGEREF _Toc478655802 \h </w:instrText>
            </w:r>
            <w:r w:rsidR="00CC0327">
              <w:rPr>
                <w:noProof/>
                <w:webHidden/>
              </w:rPr>
            </w:r>
            <w:r w:rsidR="00CC0327">
              <w:rPr>
                <w:noProof/>
                <w:webHidden/>
              </w:rPr>
              <w:fldChar w:fldCharType="separate"/>
            </w:r>
            <w:r w:rsidR="00CC0327">
              <w:rPr>
                <w:noProof/>
                <w:webHidden/>
              </w:rPr>
              <w:t>3</w:t>
            </w:r>
            <w:r w:rsidR="00CC0327">
              <w:rPr>
                <w:noProof/>
                <w:webHidden/>
              </w:rPr>
              <w:fldChar w:fldCharType="end"/>
            </w:r>
          </w:hyperlink>
        </w:p>
        <w:p w:rsidR="00CC0327" w:rsidRDefault="000D4C6F">
          <w:pPr>
            <w:pStyle w:val="Inhopg1"/>
            <w:rPr>
              <w:rFonts w:eastAsiaTheme="minorEastAsia"/>
              <w:noProof/>
              <w:lang w:eastAsia="nl-NL"/>
            </w:rPr>
          </w:pPr>
          <w:hyperlink w:anchor="_Toc478655803" w:history="1">
            <w:r w:rsidR="00CC0327" w:rsidRPr="00AF1743">
              <w:rPr>
                <w:rStyle w:val="Hyperlink"/>
                <w:noProof/>
              </w:rPr>
              <w:t>2.</w:t>
            </w:r>
            <w:r w:rsidR="00CC0327">
              <w:rPr>
                <w:rFonts w:eastAsiaTheme="minorEastAsia"/>
                <w:noProof/>
                <w:lang w:eastAsia="nl-NL"/>
              </w:rPr>
              <w:tab/>
            </w:r>
            <w:r w:rsidR="00CC0327" w:rsidRPr="00AF1743">
              <w:rPr>
                <w:rStyle w:val="Hyperlink"/>
                <w:noProof/>
              </w:rPr>
              <w:t>Programma’s</w:t>
            </w:r>
            <w:r w:rsidR="00CC0327">
              <w:rPr>
                <w:noProof/>
                <w:webHidden/>
              </w:rPr>
              <w:tab/>
            </w:r>
            <w:r w:rsidR="00CC0327">
              <w:rPr>
                <w:noProof/>
                <w:webHidden/>
              </w:rPr>
              <w:fldChar w:fldCharType="begin"/>
            </w:r>
            <w:r w:rsidR="00CC0327">
              <w:rPr>
                <w:noProof/>
                <w:webHidden/>
              </w:rPr>
              <w:instrText xml:space="preserve"> PAGEREF _Toc478655803 \h </w:instrText>
            </w:r>
            <w:r w:rsidR="00CC0327">
              <w:rPr>
                <w:noProof/>
                <w:webHidden/>
              </w:rPr>
            </w:r>
            <w:r w:rsidR="00CC0327">
              <w:rPr>
                <w:noProof/>
                <w:webHidden/>
              </w:rPr>
              <w:fldChar w:fldCharType="separate"/>
            </w:r>
            <w:r w:rsidR="00CC0327">
              <w:rPr>
                <w:noProof/>
                <w:webHidden/>
              </w:rPr>
              <w:t>5</w:t>
            </w:r>
            <w:r w:rsidR="00CC0327">
              <w:rPr>
                <w:noProof/>
                <w:webHidden/>
              </w:rPr>
              <w:fldChar w:fldCharType="end"/>
            </w:r>
          </w:hyperlink>
        </w:p>
        <w:p w:rsidR="00CC0327" w:rsidRDefault="000D4C6F">
          <w:pPr>
            <w:pStyle w:val="Inhopg2"/>
            <w:rPr>
              <w:rFonts w:eastAsiaTheme="minorEastAsia" w:cstheme="minorBidi"/>
              <w:bCs w:val="0"/>
              <w:lang w:eastAsia="nl-NL"/>
            </w:rPr>
          </w:pPr>
          <w:hyperlink w:anchor="_Toc478655804" w:history="1">
            <w:r w:rsidR="00CC0327" w:rsidRPr="00AF1743">
              <w:rPr>
                <w:rStyle w:val="Hyperlink"/>
              </w:rPr>
              <w:t>2.1</w:t>
            </w:r>
            <w:r w:rsidR="00CC0327">
              <w:rPr>
                <w:rFonts w:eastAsiaTheme="minorEastAsia" w:cstheme="minorBidi"/>
                <w:bCs w:val="0"/>
                <w:lang w:eastAsia="nl-NL"/>
              </w:rPr>
              <w:tab/>
            </w:r>
            <w:r w:rsidR="00CC0327" w:rsidRPr="00AF1743">
              <w:rPr>
                <w:rStyle w:val="Hyperlink"/>
              </w:rPr>
              <w:t>Programma Publieke Gezondheid</w:t>
            </w:r>
            <w:r w:rsidR="00CC0327">
              <w:rPr>
                <w:webHidden/>
              </w:rPr>
              <w:tab/>
            </w:r>
            <w:r w:rsidR="00CC0327">
              <w:rPr>
                <w:webHidden/>
              </w:rPr>
              <w:fldChar w:fldCharType="begin"/>
            </w:r>
            <w:r w:rsidR="00CC0327">
              <w:rPr>
                <w:webHidden/>
              </w:rPr>
              <w:instrText xml:space="preserve"> PAGEREF _Toc478655804 \h </w:instrText>
            </w:r>
            <w:r w:rsidR="00CC0327">
              <w:rPr>
                <w:webHidden/>
              </w:rPr>
            </w:r>
            <w:r w:rsidR="00CC0327">
              <w:rPr>
                <w:webHidden/>
              </w:rPr>
              <w:fldChar w:fldCharType="separate"/>
            </w:r>
            <w:r w:rsidR="00CC0327">
              <w:rPr>
                <w:webHidden/>
              </w:rPr>
              <w:t>5</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05" w:history="1">
            <w:r w:rsidR="00CC0327" w:rsidRPr="00AF1743">
              <w:rPr>
                <w:rStyle w:val="Hyperlink"/>
              </w:rPr>
              <w:t>2.2</w:t>
            </w:r>
            <w:r w:rsidR="00CC0327">
              <w:rPr>
                <w:rFonts w:eastAsiaTheme="minorEastAsia" w:cstheme="minorBidi"/>
                <w:bCs w:val="0"/>
                <w:lang w:eastAsia="nl-NL"/>
              </w:rPr>
              <w:tab/>
            </w:r>
            <w:r w:rsidR="00CC0327" w:rsidRPr="00AF1743">
              <w:rPr>
                <w:rStyle w:val="Hyperlink"/>
              </w:rPr>
              <w:t>Programma Jeugdgezondheidszorg</w:t>
            </w:r>
            <w:r w:rsidR="00CC0327">
              <w:rPr>
                <w:webHidden/>
              </w:rPr>
              <w:tab/>
            </w:r>
            <w:r w:rsidR="00CC0327">
              <w:rPr>
                <w:webHidden/>
              </w:rPr>
              <w:fldChar w:fldCharType="begin"/>
            </w:r>
            <w:r w:rsidR="00CC0327">
              <w:rPr>
                <w:webHidden/>
              </w:rPr>
              <w:instrText xml:space="preserve"> PAGEREF _Toc478655805 \h </w:instrText>
            </w:r>
            <w:r w:rsidR="00CC0327">
              <w:rPr>
                <w:webHidden/>
              </w:rPr>
            </w:r>
            <w:r w:rsidR="00CC0327">
              <w:rPr>
                <w:webHidden/>
              </w:rPr>
              <w:fldChar w:fldCharType="separate"/>
            </w:r>
            <w:r w:rsidR="00CC0327">
              <w:rPr>
                <w:webHidden/>
              </w:rPr>
              <w:t>15</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06" w:history="1">
            <w:r w:rsidR="00CC0327" w:rsidRPr="00AF1743">
              <w:rPr>
                <w:rStyle w:val="Hyperlink"/>
              </w:rPr>
              <w:t xml:space="preserve">2.3 </w:t>
            </w:r>
            <w:r>
              <w:rPr>
                <w:rStyle w:val="Hyperlink"/>
              </w:rPr>
              <w:tab/>
            </w:r>
            <w:bookmarkStart w:id="2" w:name="_GoBack"/>
            <w:bookmarkEnd w:id="2"/>
            <w:r w:rsidR="00CC0327" w:rsidRPr="00AF1743">
              <w:rPr>
                <w:rStyle w:val="Hyperlink"/>
              </w:rPr>
              <w:t>Programma Brandweerzorg</w:t>
            </w:r>
            <w:r w:rsidR="00CC0327">
              <w:rPr>
                <w:webHidden/>
              </w:rPr>
              <w:tab/>
            </w:r>
            <w:r w:rsidR="00CC0327">
              <w:rPr>
                <w:webHidden/>
              </w:rPr>
              <w:fldChar w:fldCharType="begin"/>
            </w:r>
            <w:r w:rsidR="00CC0327">
              <w:rPr>
                <w:webHidden/>
              </w:rPr>
              <w:instrText xml:space="preserve"> PAGEREF _Toc478655806 \h </w:instrText>
            </w:r>
            <w:r w:rsidR="00CC0327">
              <w:rPr>
                <w:webHidden/>
              </w:rPr>
            </w:r>
            <w:r w:rsidR="00CC0327">
              <w:rPr>
                <w:webHidden/>
              </w:rPr>
              <w:fldChar w:fldCharType="separate"/>
            </w:r>
            <w:r w:rsidR="00CC0327">
              <w:rPr>
                <w:webHidden/>
              </w:rPr>
              <w:t>21</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07" w:history="1">
            <w:r w:rsidR="00CC0327" w:rsidRPr="00AF1743">
              <w:rPr>
                <w:rStyle w:val="Hyperlink"/>
              </w:rPr>
              <w:t>2.3</w:t>
            </w:r>
            <w:r w:rsidR="00CC0327">
              <w:rPr>
                <w:rFonts w:eastAsiaTheme="minorEastAsia" w:cstheme="minorBidi"/>
                <w:bCs w:val="0"/>
                <w:lang w:eastAsia="nl-NL"/>
              </w:rPr>
              <w:tab/>
            </w:r>
            <w:r w:rsidR="00CC0327" w:rsidRPr="00AF1743">
              <w:rPr>
                <w:rStyle w:val="Hyperlink"/>
              </w:rPr>
              <w:t>Programma Ambulancezorg</w:t>
            </w:r>
            <w:r w:rsidR="00CC0327">
              <w:rPr>
                <w:webHidden/>
              </w:rPr>
              <w:tab/>
            </w:r>
            <w:r w:rsidR="00CC0327">
              <w:rPr>
                <w:webHidden/>
              </w:rPr>
              <w:fldChar w:fldCharType="begin"/>
            </w:r>
            <w:r w:rsidR="00CC0327">
              <w:rPr>
                <w:webHidden/>
              </w:rPr>
              <w:instrText xml:space="preserve"> PAGEREF _Toc478655807 \h </w:instrText>
            </w:r>
            <w:r w:rsidR="00CC0327">
              <w:rPr>
                <w:webHidden/>
              </w:rPr>
            </w:r>
            <w:r w:rsidR="00CC0327">
              <w:rPr>
                <w:webHidden/>
              </w:rPr>
              <w:fldChar w:fldCharType="separate"/>
            </w:r>
            <w:r w:rsidR="00CC0327">
              <w:rPr>
                <w:webHidden/>
              </w:rPr>
              <w:t>28</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08" w:history="1">
            <w:r w:rsidR="00CC0327" w:rsidRPr="00AF1743">
              <w:rPr>
                <w:rStyle w:val="Hyperlink"/>
              </w:rPr>
              <w:t>2.4</w:t>
            </w:r>
            <w:r w:rsidR="00CC0327">
              <w:rPr>
                <w:rFonts w:eastAsiaTheme="minorEastAsia" w:cstheme="minorBidi"/>
                <w:bCs w:val="0"/>
                <w:lang w:eastAsia="nl-NL"/>
              </w:rPr>
              <w:tab/>
            </w:r>
            <w:r w:rsidR="00CC0327" w:rsidRPr="00AF1743">
              <w:rPr>
                <w:rStyle w:val="Hyperlink"/>
              </w:rPr>
              <w:t>Programma GHOR</w:t>
            </w:r>
            <w:r w:rsidR="00CC0327">
              <w:rPr>
                <w:webHidden/>
              </w:rPr>
              <w:tab/>
            </w:r>
            <w:r w:rsidR="00CC0327">
              <w:rPr>
                <w:webHidden/>
              </w:rPr>
              <w:fldChar w:fldCharType="begin"/>
            </w:r>
            <w:r w:rsidR="00CC0327">
              <w:rPr>
                <w:webHidden/>
              </w:rPr>
              <w:instrText xml:space="preserve"> PAGEREF _Toc478655808 \h </w:instrText>
            </w:r>
            <w:r w:rsidR="00CC0327">
              <w:rPr>
                <w:webHidden/>
              </w:rPr>
            </w:r>
            <w:r w:rsidR="00CC0327">
              <w:rPr>
                <w:webHidden/>
              </w:rPr>
              <w:fldChar w:fldCharType="separate"/>
            </w:r>
            <w:r w:rsidR="00CC0327">
              <w:rPr>
                <w:webHidden/>
              </w:rPr>
              <w:t>31</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09" w:history="1">
            <w:r w:rsidR="00CC0327" w:rsidRPr="00AF1743">
              <w:rPr>
                <w:rStyle w:val="Hyperlink"/>
              </w:rPr>
              <w:t>2.5</w:t>
            </w:r>
            <w:r w:rsidR="00CC0327">
              <w:rPr>
                <w:rFonts w:eastAsiaTheme="minorEastAsia" w:cstheme="minorBidi"/>
                <w:bCs w:val="0"/>
                <w:lang w:eastAsia="nl-NL"/>
              </w:rPr>
              <w:tab/>
            </w:r>
            <w:r w:rsidR="00CC0327" w:rsidRPr="00AF1743">
              <w:rPr>
                <w:rStyle w:val="Hyperlink"/>
              </w:rPr>
              <w:t>Programma Multidisciplinaire samenwerking</w:t>
            </w:r>
            <w:r w:rsidR="00CC0327">
              <w:rPr>
                <w:webHidden/>
              </w:rPr>
              <w:tab/>
            </w:r>
            <w:r w:rsidR="00CC0327">
              <w:rPr>
                <w:webHidden/>
              </w:rPr>
              <w:fldChar w:fldCharType="begin"/>
            </w:r>
            <w:r w:rsidR="00CC0327">
              <w:rPr>
                <w:webHidden/>
              </w:rPr>
              <w:instrText xml:space="preserve"> PAGEREF _Toc478655809 \h </w:instrText>
            </w:r>
            <w:r w:rsidR="00CC0327">
              <w:rPr>
                <w:webHidden/>
              </w:rPr>
            </w:r>
            <w:r w:rsidR="00CC0327">
              <w:rPr>
                <w:webHidden/>
              </w:rPr>
              <w:fldChar w:fldCharType="separate"/>
            </w:r>
            <w:r w:rsidR="00CC0327">
              <w:rPr>
                <w:webHidden/>
              </w:rPr>
              <w:t>36</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0" w:history="1">
            <w:r w:rsidR="00CC0327" w:rsidRPr="00AF1743">
              <w:rPr>
                <w:rStyle w:val="Hyperlink"/>
              </w:rPr>
              <w:t>2.6</w:t>
            </w:r>
            <w:r w:rsidR="00CC0327">
              <w:rPr>
                <w:rFonts w:eastAsiaTheme="minorEastAsia" w:cstheme="minorBidi"/>
                <w:bCs w:val="0"/>
                <w:lang w:eastAsia="nl-NL"/>
              </w:rPr>
              <w:tab/>
            </w:r>
            <w:r w:rsidR="00CC0327" w:rsidRPr="00AF1743">
              <w:rPr>
                <w:rStyle w:val="Hyperlink"/>
              </w:rPr>
              <w:t>Bevolkingszorg</w:t>
            </w:r>
            <w:r w:rsidR="00CC0327">
              <w:rPr>
                <w:webHidden/>
              </w:rPr>
              <w:tab/>
            </w:r>
            <w:r w:rsidR="00CC0327">
              <w:rPr>
                <w:webHidden/>
              </w:rPr>
              <w:fldChar w:fldCharType="begin"/>
            </w:r>
            <w:r w:rsidR="00CC0327">
              <w:rPr>
                <w:webHidden/>
              </w:rPr>
              <w:instrText xml:space="preserve"> PAGEREF _Toc478655810 \h </w:instrText>
            </w:r>
            <w:r w:rsidR="00CC0327">
              <w:rPr>
                <w:webHidden/>
              </w:rPr>
            </w:r>
            <w:r w:rsidR="00CC0327">
              <w:rPr>
                <w:webHidden/>
              </w:rPr>
              <w:fldChar w:fldCharType="separate"/>
            </w:r>
            <w:r w:rsidR="00CC0327">
              <w:rPr>
                <w:webHidden/>
              </w:rPr>
              <w:t>41</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1" w:history="1">
            <w:r w:rsidR="00CC0327" w:rsidRPr="00AF1743">
              <w:rPr>
                <w:rStyle w:val="Hyperlink"/>
              </w:rPr>
              <w:t>2.7</w:t>
            </w:r>
            <w:r w:rsidR="00CC0327">
              <w:rPr>
                <w:rFonts w:eastAsiaTheme="minorEastAsia" w:cstheme="minorBidi"/>
                <w:bCs w:val="0"/>
                <w:lang w:eastAsia="nl-NL"/>
              </w:rPr>
              <w:tab/>
            </w:r>
            <w:r w:rsidR="00CC0327" w:rsidRPr="00AF1743">
              <w:rPr>
                <w:rStyle w:val="Hyperlink"/>
              </w:rPr>
              <w:t>Programma Veiligheidshuis</w:t>
            </w:r>
            <w:r w:rsidR="00CC0327">
              <w:rPr>
                <w:webHidden/>
              </w:rPr>
              <w:tab/>
            </w:r>
            <w:r w:rsidR="00CC0327">
              <w:rPr>
                <w:webHidden/>
              </w:rPr>
              <w:fldChar w:fldCharType="begin"/>
            </w:r>
            <w:r w:rsidR="00CC0327">
              <w:rPr>
                <w:webHidden/>
              </w:rPr>
              <w:instrText xml:space="preserve"> PAGEREF _Toc478655811 \h </w:instrText>
            </w:r>
            <w:r w:rsidR="00CC0327">
              <w:rPr>
                <w:webHidden/>
              </w:rPr>
            </w:r>
            <w:r w:rsidR="00CC0327">
              <w:rPr>
                <w:webHidden/>
              </w:rPr>
              <w:fldChar w:fldCharType="separate"/>
            </w:r>
            <w:r w:rsidR="00CC0327">
              <w:rPr>
                <w:webHidden/>
              </w:rPr>
              <w:t>43</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2" w:history="1">
            <w:r w:rsidR="00CC0327" w:rsidRPr="00AF1743">
              <w:rPr>
                <w:rStyle w:val="Hyperlink"/>
              </w:rPr>
              <w:t>2.8</w:t>
            </w:r>
            <w:r w:rsidR="00CC0327">
              <w:rPr>
                <w:rFonts w:eastAsiaTheme="minorEastAsia" w:cstheme="minorBidi"/>
                <w:bCs w:val="0"/>
                <w:lang w:eastAsia="nl-NL"/>
              </w:rPr>
              <w:tab/>
            </w:r>
            <w:r w:rsidR="00CC0327" w:rsidRPr="00AF1743">
              <w:rPr>
                <w:rStyle w:val="Hyperlink"/>
              </w:rPr>
              <w:t>Programma Interne dienstverlening</w:t>
            </w:r>
            <w:r w:rsidR="00CC0327">
              <w:rPr>
                <w:webHidden/>
              </w:rPr>
              <w:tab/>
            </w:r>
            <w:r w:rsidR="00CC0327">
              <w:rPr>
                <w:webHidden/>
              </w:rPr>
              <w:fldChar w:fldCharType="begin"/>
            </w:r>
            <w:r w:rsidR="00CC0327">
              <w:rPr>
                <w:webHidden/>
              </w:rPr>
              <w:instrText xml:space="preserve"> PAGEREF _Toc478655812 \h </w:instrText>
            </w:r>
            <w:r w:rsidR="00CC0327">
              <w:rPr>
                <w:webHidden/>
              </w:rPr>
            </w:r>
            <w:r w:rsidR="00CC0327">
              <w:rPr>
                <w:webHidden/>
              </w:rPr>
              <w:fldChar w:fldCharType="separate"/>
            </w:r>
            <w:r w:rsidR="00CC0327">
              <w:rPr>
                <w:webHidden/>
              </w:rPr>
              <w:t>47</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3" w:history="1">
            <w:r w:rsidR="00CC0327" w:rsidRPr="00AF1743">
              <w:rPr>
                <w:rStyle w:val="Hyperlink"/>
              </w:rPr>
              <w:t>2.9</w:t>
            </w:r>
            <w:r w:rsidR="00CC0327">
              <w:rPr>
                <w:rFonts w:eastAsiaTheme="minorEastAsia" w:cstheme="minorBidi"/>
                <w:bCs w:val="0"/>
                <w:lang w:eastAsia="nl-NL"/>
              </w:rPr>
              <w:tab/>
            </w:r>
            <w:r w:rsidR="00CC0327" w:rsidRPr="00AF1743">
              <w:rPr>
                <w:rStyle w:val="Hyperlink"/>
              </w:rPr>
              <w:t>Financiële middelen</w:t>
            </w:r>
            <w:r w:rsidR="00CC0327">
              <w:rPr>
                <w:webHidden/>
              </w:rPr>
              <w:tab/>
            </w:r>
            <w:r w:rsidR="00CC0327">
              <w:rPr>
                <w:webHidden/>
              </w:rPr>
              <w:fldChar w:fldCharType="begin"/>
            </w:r>
            <w:r w:rsidR="00CC0327">
              <w:rPr>
                <w:webHidden/>
              </w:rPr>
              <w:instrText xml:space="preserve"> PAGEREF _Toc478655813 \h </w:instrText>
            </w:r>
            <w:r w:rsidR="00CC0327">
              <w:rPr>
                <w:webHidden/>
              </w:rPr>
            </w:r>
            <w:r w:rsidR="00CC0327">
              <w:rPr>
                <w:webHidden/>
              </w:rPr>
              <w:fldChar w:fldCharType="separate"/>
            </w:r>
            <w:r w:rsidR="00CC0327">
              <w:rPr>
                <w:webHidden/>
              </w:rPr>
              <w:t>52</w:t>
            </w:r>
            <w:r w:rsidR="00CC0327">
              <w:rPr>
                <w:webHidden/>
              </w:rPr>
              <w:fldChar w:fldCharType="end"/>
            </w:r>
          </w:hyperlink>
        </w:p>
        <w:p w:rsidR="00CC0327" w:rsidRDefault="000D4C6F">
          <w:pPr>
            <w:pStyle w:val="Inhopg1"/>
            <w:rPr>
              <w:rFonts w:eastAsiaTheme="minorEastAsia"/>
              <w:noProof/>
              <w:lang w:eastAsia="nl-NL"/>
            </w:rPr>
          </w:pPr>
          <w:hyperlink w:anchor="_Toc478655814" w:history="1">
            <w:r w:rsidR="00CC0327" w:rsidRPr="00AF1743">
              <w:rPr>
                <w:rStyle w:val="Hyperlink"/>
                <w:noProof/>
              </w:rPr>
              <w:t>3.</w:t>
            </w:r>
            <w:r w:rsidR="00CC0327">
              <w:rPr>
                <w:rFonts w:eastAsiaTheme="minorEastAsia"/>
                <w:noProof/>
                <w:lang w:eastAsia="nl-NL"/>
              </w:rPr>
              <w:tab/>
            </w:r>
            <w:r w:rsidR="00CC0327" w:rsidRPr="00AF1743">
              <w:rPr>
                <w:rStyle w:val="Hyperlink"/>
                <w:noProof/>
              </w:rPr>
              <w:t>Financiële beschouwingen</w:t>
            </w:r>
            <w:r w:rsidR="00CC0327">
              <w:rPr>
                <w:noProof/>
                <w:webHidden/>
              </w:rPr>
              <w:tab/>
            </w:r>
            <w:r w:rsidR="00CC0327">
              <w:rPr>
                <w:noProof/>
                <w:webHidden/>
              </w:rPr>
              <w:fldChar w:fldCharType="begin"/>
            </w:r>
            <w:r w:rsidR="00CC0327">
              <w:rPr>
                <w:noProof/>
                <w:webHidden/>
              </w:rPr>
              <w:instrText xml:space="preserve"> PAGEREF _Toc478655814 \h </w:instrText>
            </w:r>
            <w:r w:rsidR="00CC0327">
              <w:rPr>
                <w:noProof/>
                <w:webHidden/>
              </w:rPr>
            </w:r>
            <w:r w:rsidR="00CC0327">
              <w:rPr>
                <w:noProof/>
                <w:webHidden/>
              </w:rPr>
              <w:fldChar w:fldCharType="separate"/>
            </w:r>
            <w:r w:rsidR="00CC0327">
              <w:rPr>
                <w:noProof/>
                <w:webHidden/>
              </w:rPr>
              <w:t>53</w:t>
            </w:r>
            <w:r w:rsidR="00CC0327">
              <w:rPr>
                <w:noProof/>
                <w:webHidden/>
              </w:rPr>
              <w:fldChar w:fldCharType="end"/>
            </w:r>
          </w:hyperlink>
        </w:p>
        <w:p w:rsidR="00CC0327" w:rsidRDefault="000D4C6F">
          <w:pPr>
            <w:pStyle w:val="Inhopg2"/>
            <w:rPr>
              <w:rFonts w:eastAsiaTheme="minorEastAsia" w:cstheme="minorBidi"/>
              <w:bCs w:val="0"/>
              <w:lang w:eastAsia="nl-NL"/>
            </w:rPr>
          </w:pPr>
          <w:hyperlink w:anchor="_Toc478655815" w:history="1">
            <w:r w:rsidR="00CC0327" w:rsidRPr="00AF1743">
              <w:rPr>
                <w:rStyle w:val="Hyperlink"/>
              </w:rPr>
              <w:t>3.1 Ontwikkeling begrotingskaders</w:t>
            </w:r>
            <w:r w:rsidR="00CC0327">
              <w:rPr>
                <w:webHidden/>
              </w:rPr>
              <w:tab/>
            </w:r>
            <w:r w:rsidR="00CC0327">
              <w:rPr>
                <w:webHidden/>
              </w:rPr>
              <w:fldChar w:fldCharType="begin"/>
            </w:r>
            <w:r w:rsidR="00CC0327">
              <w:rPr>
                <w:webHidden/>
              </w:rPr>
              <w:instrText xml:space="preserve"> PAGEREF _Toc478655815 \h </w:instrText>
            </w:r>
            <w:r w:rsidR="00CC0327">
              <w:rPr>
                <w:webHidden/>
              </w:rPr>
            </w:r>
            <w:r w:rsidR="00CC0327">
              <w:rPr>
                <w:webHidden/>
              </w:rPr>
              <w:fldChar w:fldCharType="separate"/>
            </w:r>
            <w:r w:rsidR="00CC0327">
              <w:rPr>
                <w:webHidden/>
              </w:rPr>
              <w:t>53</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6" w:history="1">
            <w:r w:rsidR="00CC0327" w:rsidRPr="00AF1743">
              <w:rPr>
                <w:rStyle w:val="Hyperlink"/>
              </w:rPr>
              <w:t>3.2 Effect op het lopende begrotingsjaar 2017</w:t>
            </w:r>
            <w:r w:rsidR="00CC0327">
              <w:rPr>
                <w:webHidden/>
              </w:rPr>
              <w:tab/>
            </w:r>
            <w:r w:rsidR="00CC0327">
              <w:rPr>
                <w:webHidden/>
              </w:rPr>
              <w:fldChar w:fldCharType="begin"/>
            </w:r>
            <w:r w:rsidR="00CC0327">
              <w:rPr>
                <w:webHidden/>
              </w:rPr>
              <w:instrText xml:space="preserve"> PAGEREF _Toc478655816 \h </w:instrText>
            </w:r>
            <w:r w:rsidR="00CC0327">
              <w:rPr>
                <w:webHidden/>
              </w:rPr>
            </w:r>
            <w:r w:rsidR="00CC0327">
              <w:rPr>
                <w:webHidden/>
              </w:rPr>
              <w:fldChar w:fldCharType="separate"/>
            </w:r>
            <w:r w:rsidR="00CC0327">
              <w:rPr>
                <w:webHidden/>
              </w:rPr>
              <w:t>63</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17" w:history="1">
            <w:r w:rsidR="00CC0327" w:rsidRPr="00AF1743">
              <w:rPr>
                <w:rStyle w:val="Hyperlink"/>
              </w:rPr>
              <w:t>3.3 Financiële begroting in één oogopslag</w:t>
            </w:r>
            <w:r w:rsidR="00CC0327">
              <w:rPr>
                <w:webHidden/>
              </w:rPr>
              <w:tab/>
            </w:r>
            <w:r w:rsidR="00CC0327">
              <w:rPr>
                <w:webHidden/>
              </w:rPr>
              <w:fldChar w:fldCharType="begin"/>
            </w:r>
            <w:r w:rsidR="00CC0327">
              <w:rPr>
                <w:webHidden/>
              </w:rPr>
              <w:instrText xml:space="preserve"> PAGEREF _Toc478655817 \h </w:instrText>
            </w:r>
            <w:r w:rsidR="00CC0327">
              <w:rPr>
                <w:webHidden/>
              </w:rPr>
            </w:r>
            <w:r w:rsidR="00CC0327">
              <w:rPr>
                <w:webHidden/>
              </w:rPr>
              <w:fldChar w:fldCharType="separate"/>
            </w:r>
            <w:r w:rsidR="00CC0327">
              <w:rPr>
                <w:webHidden/>
              </w:rPr>
              <w:t>64</w:t>
            </w:r>
            <w:r w:rsidR="00CC0327">
              <w:rPr>
                <w:webHidden/>
              </w:rPr>
              <w:fldChar w:fldCharType="end"/>
            </w:r>
          </w:hyperlink>
        </w:p>
        <w:p w:rsidR="00CC0327" w:rsidRDefault="000D4C6F">
          <w:pPr>
            <w:pStyle w:val="Inhopg1"/>
            <w:rPr>
              <w:rFonts w:eastAsiaTheme="minorEastAsia"/>
              <w:noProof/>
              <w:lang w:eastAsia="nl-NL"/>
            </w:rPr>
          </w:pPr>
          <w:hyperlink w:anchor="_Toc478655818" w:history="1">
            <w:r w:rsidR="00CC0327" w:rsidRPr="00AF1743">
              <w:rPr>
                <w:rStyle w:val="Hyperlink"/>
                <w:noProof/>
              </w:rPr>
              <w:t>4.</w:t>
            </w:r>
            <w:r w:rsidR="00CC0327">
              <w:rPr>
                <w:rFonts w:eastAsiaTheme="minorEastAsia"/>
                <w:noProof/>
                <w:lang w:eastAsia="nl-NL"/>
              </w:rPr>
              <w:tab/>
            </w:r>
            <w:r w:rsidR="00CC0327" w:rsidRPr="00AF1743">
              <w:rPr>
                <w:rStyle w:val="Hyperlink"/>
                <w:noProof/>
              </w:rPr>
              <w:t>Paragrafen</w:t>
            </w:r>
            <w:r w:rsidR="00CC0327">
              <w:rPr>
                <w:noProof/>
                <w:webHidden/>
              </w:rPr>
              <w:tab/>
            </w:r>
            <w:r w:rsidR="00CC0327">
              <w:rPr>
                <w:noProof/>
                <w:webHidden/>
              </w:rPr>
              <w:fldChar w:fldCharType="begin"/>
            </w:r>
            <w:r w:rsidR="00CC0327">
              <w:rPr>
                <w:noProof/>
                <w:webHidden/>
              </w:rPr>
              <w:instrText xml:space="preserve"> PAGEREF _Toc478655818 \h </w:instrText>
            </w:r>
            <w:r w:rsidR="00CC0327">
              <w:rPr>
                <w:noProof/>
                <w:webHidden/>
              </w:rPr>
            </w:r>
            <w:r w:rsidR="00CC0327">
              <w:rPr>
                <w:noProof/>
                <w:webHidden/>
              </w:rPr>
              <w:fldChar w:fldCharType="separate"/>
            </w:r>
            <w:r w:rsidR="00CC0327">
              <w:rPr>
                <w:noProof/>
                <w:webHidden/>
              </w:rPr>
              <w:t>65</w:t>
            </w:r>
            <w:r w:rsidR="00CC0327">
              <w:rPr>
                <w:noProof/>
                <w:webHidden/>
              </w:rPr>
              <w:fldChar w:fldCharType="end"/>
            </w:r>
          </w:hyperlink>
        </w:p>
        <w:p w:rsidR="00CC0327" w:rsidRDefault="000D4C6F">
          <w:pPr>
            <w:pStyle w:val="Inhopg2"/>
            <w:rPr>
              <w:rFonts w:eastAsiaTheme="minorEastAsia" w:cstheme="minorBidi"/>
              <w:bCs w:val="0"/>
              <w:lang w:eastAsia="nl-NL"/>
            </w:rPr>
          </w:pPr>
          <w:hyperlink w:anchor="_Toc478655819" w:history="1">
            <w:r w:rsidR="00CC0327" w:rsidRPr="00AF1743">
              <w:rPr>
                <w:rStyle w:val="Hyperlink"/>
              </w:rPr>
              <w:t>4.1</w:t>
            </w:r>
            <w:r w:rsidR="00CC0327">
              <w:rPr>
                <w:rFonts w:eastAsiaTheme="minorEastAsia" w:cstheme="minorBidi"/>
                <w:bCs w:val="0"/>
                <w:lang w:eastAsia="nl-NL"/>
              </w:rPr>
              <w:tab/>
            </w:r>
            <w:r w:rsidR="00CC0327" w:rsidRPr="00AF1743">
              <w:rPr>
                <w:rStyle w:val="Hyperlink"/>
              </w:rPr>
              <w:t>Weerstandsvermogen en risicobeheersing</w:t>
            </w:r>
            <w:r w:rsidR="00CC0327">
              <w:rPr>
                <w:webHidden/>
              </w:rPr>
              <w:tab/>
            </w:r>
            <w:r w:rsidR="00CC0327">
              <w:rPr>
                <w:webHidden/>
              </w:rPr>
              <w:fldChar w:fldCharType="begin"/>
            </w:r>
            <w:r w:rsidR="00CC0327">
              <w:rPr>
                <w:webHidden/>
              </w:rPr>
              <w:instrText xml:space="preserve"> PAGEREF _Toc478655819 \h </w:instrText>
            </w:r>
            <w:r w:rsidR="00CC0327">
              <w:rPr>
                <w:webHidden/>
              </w:rPr>
            </w:r>
            <w:r w:rsidR="00CC0327">
              <w:rPr>
                <w:webHidden/>
              </w:rPr>
              <w:fldChar w:fldCharType="separate"/>
            </w:r>
            <w:r w:rsidR="00CC0327">
              <w:rPr>
                <w:webHidden/>
              </w:rPr>
              <w:t>65</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0" w:history="1">
            <w:r w:rsidR="00CC0327" w:rsidRPr="00AF1743">
              <w:rPr>
                <w:rStyle w:val="Hyperlink"/>
              </w:rPr>
              <w:t>4.2</w:t>
            </w:r>
            <w:r w:rsidR="00CC0327">
              <w:rPr>
                <w:rFonts w:eastAsiaTheme="minorEastAsia" w:cstheme="minorBidi"/>
                <w:bCs w:val="0"/>
                <w:lang w:eastAsia="nl-NL"/>
              </w:rPr>
              <w:tab/>
            </w:r>
            <w:r w:rsidR="00CC0327" w:rsidRPr="00AF1743">
              <w:rPr>
                <w:rStyle w:val="Hyperlink"/>
              </w:rPr>
              <w:t>Onderhoud kapitaalgoederen</w:t>
            </w:r>
            <w:r w:rsidR="00CC0327">
              <w:rPr>
                <w:webHidden/>
              </w:rPr>
              <w:tab/>
            </w:r>
            <w:r w:rsidR="00CC0327">
              <w:rPr>
                <w:webHidden/>
              </w:rPr>
              <w:fldChar w:fldCharType="begin"/>
            </w:r>
            <w:r w:rsidR="00CC0327">
              <w:rPr>
                <w:webHidden/>
              </w:rPr>
              <w:instrText xml:space="preserve"> PAGEREF _Toc478655820 \h </w:instrText>
            </w:r>
            <w:r w:rsidR="00CC0327">
              <w:rPr>
                <w:webHidden/>
              </w:rPr>
            </w:r>
            <w:r w:rsidR="00CC0327">
              <w:rPr>
                <w:webHidden/>
              </w:rPr>
              <w:fldChar w:fldCharType="separate"/>
            </w:r>
            <w:r w:rsidR="00CC0327">
              <w:rPr>
                <w:webHidden/>
              </w:rPr>
              <w:t>70</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1" w:history="1">
            <w:r w:rsidR="00CC0327" w:rsidRPr="00AF1743">
              <w:rPr>
                <w:rStyle w:val="Hyperlink"/>
              </w:rPr>
              <w:t>4.3</w:t>
            </w:r>
            <w:r w:rsidR="00CC0327">
              <w:rPr>
                <w:rFonts w:eastAsiaTheme="minorEastAsia" w:cstheme="minorBidi"/>
                <w:bCs w:val="0"/>
                <w:lang w:eastAsia="nl-NL"/>
              </w:rPr>
              <w:tab/>
            </w:r>
            <w:r w:rsidR="00CC0327" w:rsidRPr="00AF1743">
              <w:rPr>
                <w:rStyle w:val="Hyperlink"/>
              </w:rPr>
              <w:t>Financiering</w:t>
            </w:r>
            <w:r w:rsidR="00CC0327">
              <w:rPr>
                <w:webHidden/>
              </w:rPr>
              <w:tab/>
            </w:r>
            <w:r w:rsidR="00CC0327">
              <w:rPr>
                <w:webHidden/>
              </w:rPr>
              <w:fldChar w:fldCharType="begin"/>
            </w:r>
            <w:r w:rsidR="00CC0327">
              <w:rPr>
                <w:webHidden/>
              </w:rPr>
              <w:instrText xml:space="preserve"> PAGEREF _Toc478655821 \h </w:instrText>
            </w:r>
            <w:r w:rsidR="00CC0327">
              <w:rPr>
                <w:webHidden/>
              </w:rPr>
            </w:r>
            <w:r w:rsidR="00CC0327">
              <w:rPr>
                <w:webHidden/>
              </w:rPr>
              <w:fldChar w:fldCharType="separate"/>
            </w:r>
            <w:r w:rsidR="00CC0327">
              <w:rPr>
                <w:webHidden/>
              </w:rPr>
              <w:t>71</w:t>
            </w:r>
            <w:r w:rsidR="00CC0327">
              <w:rPr>
                <w:webHidden/>
              </w:rPr>
              <w:fldChar w:fldCharType="end"/>
            </w:r>
          </w:hyperlink>
        </w:p>
        <w:p w:rsidR="00CC0327" w:rsidRDefault="000D4C6F">
          <w:pPr>
            <w:pStyle w:val="Inhopg1"/>
            <w:rPr>
              <w:rFonts w:eastAsiaTheme="minorEastAsia"/>
              <w:noProof/>
              <w:lang w:eastAsia="nl-NL"/>
            </w:rPr>
          </w:pPr>
          <w:hyperlink w:anchor="_Toc478655822" w:history="1">
            <w:r w:rsidR="00CC0327" w:rsidRPr="00AF1743">
              <w:rPr>
                <w:rStyle w:val="Hyperlink"/>
                <w:noProof/>
              </w:rPr>
              <w:t>4.</w:t>
            </w:r>
            <w:r w:rsidR="00CC0327">
              <w:rPr>
                <w:rFonts w:eastAsiaTheme="minorEastAsia"/>
                <w:noProof/>
                <w:lang w:eastAsia="nl-NL"/>
              </w:rPr>
              <w:tab/>
            </w:r>
            <w:r w:rsidR="00CC0327" w:rsidRPr="00AF1743">
              <w:rPr>
                <w:rStyle w:val="Hyperlink"/>
                <w:noProof/>
              </w:rPr>
              <w:t>Bijlagen</w:t>
            </w:r>
            <w:r w:rsidR="00CC0327">
              <w:rPr>
                <w:noProof/>
                <w:webHidden/>
              </w:rPr>
              <w:tab/>
            </w:r>
            <w:r w:rsidR="00CC0327">
              <w:rPr>
                <w:noProof/>
                <w:webHidden/>
              </w:rPr>
              <w:fldChar w:fldCharType="begin"/>
            </w:r>
            <w:r w:rsidR="00CC0327">
              <w:rPr>
                <w:noProof/>
                <w:webHidden/>
              </w:rPr>
              <w:instrText xml:space="preserve"> PAGEREF _Toc478655822 \h </w:instrText>
            </w:r>
            <w:r w:rsidR="00CC0327">
              <w:rPr>
                <w:noProof/>
                <w:webHidden/>
              </w:rPr>
            </w:r>
            <w:r w:rsidR="00CC0327">
              <w:rPr>
                <w:noProof/>
                <w:webHidden/>
              </w:rPr>
              <w:fldChar w:fldCharType="separate"/>
            </w:r>
            <w:r w:rsidR="00CC0327">
              <w:rPr>
                <w:noProof/>
                <w:webHidden/>
              </w:rPr>
              <w:t>74</w:t>
            </w:r>
            <w:r w:rsidR="00CC0327">
              <w:rPr>
                <w:noProof/>
                <w:webHidden/>
              </w:rPr>
              <w:fldChar w:fldCharType="end"/>
            </w:r>
          </w:hyperlink>
        </w:p>
        <w:p w:rsidR="00CC0327" w:rsidRDefault="000D4C6F">
          <w:pPr>
            <w:pStyle w:val="Inhopg2"/>
            <w:rPr>
              <w:rFonts w:eastAsiaTheme="minorEastAsia" w:cstheme="minorBidi"/>
              <w:bCs w:val="0"/>
              <w:lang w:eastAsia="nl-NL"/>
            </w:rPr>
          </w:pPr>
          <w:hyperlink w:anchor="_Toc478655823" w:history="1">
            <w:r w:rsidR="00CC0327" w:rsidRPr="00AF1743">
              <w:rPr>
                <w:rStyle w:val="Hyperlink"/>
              </w:rPr>
              <w:t>4.1</w:t>
            </w:r>
            <w:r w:rsidR="00CC0327">
              <w:rPr>
                <w:rFonts w:eastAsiaTheme="minorEastAsia" w:cstheme="minorBidi"/>
                <w:bCs w:val="0"/>
                <w:lang w:eastAsia="nl-NL"/>
              </w:rPr>
              <w:tab/>
            </w:r>
            <w:r w:rsidR="00CC0327" w:rsidRPr="00AF1743">
              <w:rPr>
                <w:rStyle w:val="Hyperlink"/>
              </w:rPr>
              <w:t>Gemeentelijke bijdrage</w:t>
            </w:r>
            <w:r w:rsidR="00CC0327">
              <w:rPr>
                <w:webHidden/>
              </w:rPr>
              <w:tab/>
            </w:r>
            <w:r w:rsidR="00CC0327">
              <w:rPr>
                <w:webHidden/>
              </w:rPr>
              <w:fldChar w:fldCharType="begin"/>
            </w:r>
            <w:r w:rsidR="00CC0327">
              <w:rPr>
                <w:webHidden/>
              </w:rPr>
              <w:instrText xml:space="preserve"> PAGEREF _Toc478655823 \h </w:instrText>
            </w:r>
            <w:r w:rsidR="00CC0327">
              <w:rPr>
                <w:webHidden/>
              </w:rPr>
            </w:r>
            <w:r w:rsidR="00CC0327">
              <w:rPr>
                <w:webHidden/>
              </w:rPr>
              <w:fldChar w:fldCharType="separate"/>
            </w:r>
            <w:r w:rsidR="00CC0327">
              <w:rPr>
                <w:webHidden/>
              </w:rPr>
              <w:t>74</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4" w:history="1">
            <w:r w:rsidR="00CC0327" w:rsidRPr="00AF1743">
              <w:rPr>
                <w:rStyle w:val="Hyperlink"/>
              </w:rPr>
              <w:t>4.2</w:t>
            </w:r>
            <w:r w:rsidR="00CC0327">
              <w:rPr>
                <w:rFonts w:eastAsiaTheme="minorEastAsia" w:cstheme="minorBidi"/>
                <w:bCs w:val="0"/>
                <w:lang w:eastAsia="nl-NL"/>
              </w:rPr>
              <w:tab/>
            </w:r>
            <w:r w:rsidR="00CC0327" w:rsidRPr="00AF1743">
              <w:rPr>
                <w:rStyle w:val="Hyperlink"/>
              </w:rPr>
              <w:t>Overzicht incidentele baten en lasten</w:t>
            </w:r>
            <w:r w:rsidR="00CC0327">
              <w:rPr>
                <w:webHidden/>
              </w:rPr>
              <w:tab/>
            </w:r>
            <w:r w:rsidR="00CC0327">
              <w:rPr>
                <w:webHidden/>
              </w:rPr>
              <w:fldChar w:fldCharType="begin"/>
            </w:r>
            <w:r w:rsidR="00CC0327">
              <w:rPr>
                <w:webHidden/>
              </w:rPr>
              <w:instrText xml:space="preserve"> PAGEREF _Toc478655824 \h </w:instrText>
            </w:r>
            <w:r w:rsidR="00CC0327">
              <w:rPr>
                <w:webHidden/>
              </w:rPr>
            </w:r>
            <w:r w:rsidR="00CC0327">
              <w:rPr>
                <w:webHidden/>
              </w:rPr>
              <w:fldChar w:fldCharType="separate"/>
            </w:r>
            <w:r w:rsidR="00CC0327">
              <w:rPr>
                <w:webHidden/>
              </w:rPr>
              <w:t>77</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5" w:history="1">
            <w:r w:rsidR="00CC0327" w:rsidRPr="00AF1743">
              <w:rPr>
                <w:rStyle w:val="Hyperlink"/>
              </w:rPr>
              <w:t>4.3</w:t>
            </w:r>
            <w:r w:rsidR="00CC0327">
              <w:rPr>
                <w:rFonts w:eastAsiaTheme="minorEastAsia" w:cstheme="minorBidi"/>
                <w:bCs w:val="0"/>
                <w:lang w:eastAsia="nl-NL"/>
              </w:rPr>
              <w:tab/>
            </w:r>
            <w:r w:rsidR="00CC0327" w:rsidRPr="00AF1743">
              <w:rPr>
                <w:rStyle w:val="Hyperlink"/>
              </w:rPr>
              <w:t>Geprognotiseerde balans</w:t>
            </w:r>
            <w:r w:rsidR="00CC0327">
              <w:rPr>
                <w:webHidden/>
              </w:rPr>
              <w:tab/>
            </w:r>
            <w:r w:rsidR="00CC0327">
              <w:rPr>
                <w:webHidden/>
              </w:rPr>
              <w:fldChar w:fldCharType="begin"/>
            </w:r>
            <w:r w:rsidR="00CC0327">
              <w:rPr>
                <w:webHidden/>
              </w:rPr>
              <w:instrText xml:space="preserve"> PAGEREF _Toc478655825 \h </w:instrText>
            </w:r>
            <w:r w:rsidR="00CC0327">
              <w:rPr>
                <w:webHidden/>
              </w:rPr>
            </w:r>
            <w:r w:rsidR="00CC0327">
              <w:rPr>
                <w:webHidden/>
              </w:rPr>
              <w:fldChar w:fldCharType="separate"/>
            </w:r>
            <w:r w:rsidR="00CC0327">
              <w:rPr>
                <w:webHidden/>
              </w:rPr>
              <w:t>78</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6" w:history="1">
            <w:r w:rsidR="00CC0327" w:rsidRPr="00AF1743">
              <w:rPr>
                <w:rStyle w:val="Hyperlink"/>
              </w:rPr>
              <w:t>4.4</w:t>
            </w:r>
            <w:r w:rsidR="00CC0327">
              <w:rPr>
                <w:rFonts w:eastAsiaTheme="minorEastAsia" w:cstheme="minorBidi"/>
                <w:bCs w:val="0"/>
                <w:lang w:eastAsia="nl-NL"/>
              </w:rPr>
              <w:tab/>
            </w:r>
            <w:r w:rsidR="00CC0327" w:rsidRPr="00AF1743">
              <w:rPr>
                <w:rStyle w:val="Hyperlink"/>
              </w:rPr>
              <w:t>Overzicht nominale ontwikkeling</w:t>
            </w:r>
            <w:r w:rsidR="00CC0327">
              <w:rPr>
                <w:webHidden/>
              </w:rPr>
              <w:tab/>
            </w:r>
            <w:r w:rsidR="00CC0327">
              <w:rPr>
                <w:webHidden/>
              </w:rPr>
              <w:fldChar w:fldCharType="begin"/>
            </w:r>
            <w:r w:rsidR="00CC0327">
              <w:rPr>
                <w:webHidden/>
              </w:rPr>
              <w:instrText xml:space="preserve"> PAGEREF _Toc478655826 \h </w:instrText>
            </w:r>
            <w:r w:rsidR="00CC0327">
              <w:rPr>
                <w:webHidden/>
              </w:rPr>
            </w:r>
            <w:r w:rsidR="00CC0327">
              <w:rPr>
                <w:webHidden/>
              </w:rPr>
              <w:fldChar w:fldCharType="separate"/>
            </w:r>
            <w:r w:rsidR="00CC0327">
              <w:rPr>
                <w:webHidden/>
              </w:rPr>
              <w:t>79</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7" w:history="1">
            <w:r w:rsidR="00CC0327" w:rsidRPr="00AF1743">
              <w:rPr>
                <w:rStyle w:val="Hyperlink"/>
              </w:rPr>
              <w:t>4.5</w:t>
            </w:r>
            <w:r w:rsidR="00CC0327">
              <w:rPr>
                <w:rFonts w:eastAsiaTheme="minorEastAsia" w:cstheme="minorBidi"/>
                <w:bCs w:val="0"/>
                <w:lang w:eastAsia="nl-NL"/>
              </w:rPr>
              <w:tab/>
            </w:r>
            <w:r w:rsidR="00CC0327" w:rsidRPr="00AF1743">
              <w:rPr>
                <w:rStyle w:val="Hyperlink"/>
              </w:rPr>
              <w:t>Reserves en voorzieningen</w:t>
            </w:r>
            <w:r w:rsidR="00CC0327">
              <w:rPr>
                <w:webHidden/>
              </w:rPr>
              <w:tab/>
            </w:r>
            <w:r w:rsidR="00CC0327">
              <w:rPr>
                <w:webHidden/>
              </w:rPr>
              <w:fldChar w:fldCharType="begin"/>
            </w:r>
            <w:r w:rsidR="00CC0327">
              <w:rPr>
                <w:webHidden/>
              </w:rPr>
              <w:instrText xml:space="preserve"> PAGEREF _Toc478655827 \h </w:instrText>
            </w:r>
            <w:r w:rsidR="00CC0327">
              <w:rPr>
                <w:webHidden/>
              </w:rPr>
            </w:r>
            <w:r w:rsidR="00CC0327">
              <w:rPr>
                <w:webHidden/>
              </w:rPr>
              <w:fldChar w:fldCharType="separate"/>
            </w:r>
            <w:r w:rsidR="00CC0327">
              <w:rPr>
                <w:webHidden/>
              </w:rPr>
              <w:t>80</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8" w:history="1">
            <w:r w:rsidR="00CC0327" w:rsidRPr="00AF1743">
              <w:rPr>
                <w:rStyle w:val="Hyperlink"/>
              </w:rPr>
              <w:t>4.6</w:t>
            </w:r>
            <w:r w:rsidR="00CC0327">
              <w:rPr>
                <w:rFonts w:eastAsiaTheme="minorEastAsia" w:cstheme="minorBidi"/>
                <w:bCs w:val="0"/>
                <w:lang w:eastAsia="nl-NL"/>
              </w:rPr>
              <w:tab/>
            </w:r>
            <w:r w:rsidR="00CC0327" w:rsidRPr="00AF1743">
              <w:rPr>
                <w:rStyle w:val="Hyperlink"/>
              </w:rPr>
              <w:t>Meerjaren investeringsplan 2018-2021</w:t>
            </w:r>
            <w:r w:rsidR="00CC0327">
              <w:rPr>
                <w:webHidden/>
              </w:rPr>
              <w:tab/>
            </w:r>
            <w:r w:rsidR="00CC0327">
              <w:rPr>
                <w:webHidden/>
              </w:rPr>
              <w:fldChar w:fldCharType="begin"/>
            </w:r>
            <w:r w:rsidR="00CC0327">
              <w:rPr>
                <w:webHidden/>
              </w:rPr>
              <w:instrText xml:space="preserve"> PAGEREF _Toc478655828 \h </w:instrText>
            </w:r>
            <w:r w:rsidR="00CC0327">
              <w:rPr>
                <w:webHidden/>
              </w:rPr>
            </w:r>
            <w:r w:rsidR="00CC0327">
              <w:rPr>
                <w:webHidden/>
              </w:rPr>
              <w:fldChar w:fldCharType="separate"/>
            </w:r>
            <w:r w:rsidR="00CC0327">
              <w:rPr>
                <w:webHidden/>
              </w:rPr>
              <w:t>81</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29" w:history="1">
            <w:r w:rsidR="00CC0327" w:rsidRPr="00AF1743">
              <w:rPr>
                <w:rStyle w:val="Hyperlink"/>
              </w:rPr>
              <w:t>4.7</w:t>
            </w:r>
            <w:r w:rsidR="00CC0327">
              <w:rPr>
                <w:rFonts w:eastAsiaTheme="minorEastAsia" w:cstheme="minorBidi"/>
                <w:bCs w:val="0"/>
                <w:lang w:eastAsia="nl-NL"/>
              </w:rPr>
              <w:tab/>
            </w:r>
            <w:r w:rsidR="00CC0327" w:rsidRPr="00AF1743">
              <w:rPr>
                <w:rStyle w:val="Hyperlink"/>
              </w:rPr>
              <w:t>EMU saldo</w:t>
            </w:r>
            <w:r w:rsidR="00CC0327">
              <w:rPr>
                <w:webHidden/>
              </w:rPr>
              <w:tab/>
            </w:r>
            <w:r w:rsidR="00CC0327">
              <w:rPr>
                <w:webHidden/>
              </w:rPr>
              <w:fldChar w:fldCharType="begin"/>
            </w:r>
            <w:r w:rsidR="00CC0327">
              <w:rPr>
                <w:webHidden/>
              </w:rPr>
              <w:instrText xml:space="preserve"> PAGEREF _Toc478655829 \h </w:instrText>
            </w:r>
            <w:r w:rsidR="00CC0327">
              <w:rPr>
                <w:webHidden/>
              </w:rPr>
            </w:r>
            <w:r w:rsidR="00CC0327">
              <w:rPr>
                <w:webHidden/>
              </w:rPr>
              <w:fldChar w:fldCharType="separate"/>
            </w:r>
            <w:r w:rsidR="00CC0327">
              <w:rPr>
                <w:webHidden/>
              </w:rPr>
              <w:t>83</w:t>
            </w:r>
            <w:r w:rsidR="00CC0327">
              <w:rPr>
                <w:webHidden/>
              </w:rPr>
              <w:fldChar w:fldCharType="end"/>
            </w:r>
          </w:hyperlink>
        </w:p>
        <w:p w:rsidR="00CC0327" w:rsidRDefault="000D4C6F">
          <w:pPr>
            <w:pStyle w:val="Inhopg2"/>
            <w:rPr>
              <w:rFonts w:eastAsiaTheme="minorEastAsia" w:cstheme="minorBidi"/>
              <w:bCs w:val="0"/>
              <w:lang w:eastAsia="nl-NL"/>
            </w:rPr>
          </w:pPr>
          <w:hyperlink w:anchor="_Toc478655830" w:history="1">
            <w:r w:rsidR="00CC0327" w:rsidRPr="00AF1743">
              <w:rPr>
                <w:rStyle w:val="Hyperlink"/>
              </w:rPr>
              <w:t>4.8</w:t>
            </w:r>
            <w:r w:rsidR="00CC0327">
              <w:rPr>
                <w:rFonts w:eastAsiaTheme="minorEastAsia" w:cstheme="minorBidi"/>
                <w:bCs w:val="0"/>
                <w:lang w:eastAsia="nl-NL"/>
              </w:rPr>
              <w:tab/>
            </w:r>
            <w:r w:rsidR="00CC0327" w:rsidRPr="00AF1743">
              <w:rPr>
                <w:rStyle w:val="Hyperlink"/>
              </w:rPr>
              <w:t>Lijst met afkortingen</w:t>
            </w:r>
            <w:r w:rsidR="00CC0327">
              <w:rPr>
                <w:webHidden/>
              </w:rPr>
              <w:tab/>
            </w:r>
            <w:r w:rsidR="00CC0327">
              <w:rPr>
                <w:webHidden/>
              </w:rPr>
              <w:fldChar w:fldCharType="begin"/>
            </w:r>
            <w:r w:rsidR="00CC0327">
              <w:rPr>
                <w:webHidden/>
              </w:rPr>
              <w:instrText xml:space="preserve"> PAGEREF _Toc478655830 \h </w:instrText>
            </w:r>
            <w:r w:rsidR="00CC0327">
              <w:rPr>
                <w:webHidden/>
              </w:rPr>
            </w:r>
            <w:r w:rsidR="00CC0327">
              <w:rPr>
                <w:webHidden/>
              </w:rPr>
              <w:fldChar w:fldCharType="separate"/>
            </w:r>
            <w:r w:rsidR="00CC0327">
              <w:rPr>
                <w:webHidden/>
              </w:rPr>
              <w:t>84</w:t>
            </w:r>
            <w:r w:rsidR="00CC0327">
              <w:rPr>
                <w:webHidden/>
              </w:rPr>
              <w:fldChar w:fldCharType="end"/>
            </w:r>
          </w:hyperlink>
        </w:p>
        <w:p w:rsidR="009F49C5" w:rsidRDefault="005627E9">
          <w:r>
            <w:rPr>
              <w:b/>
              <w:bCs/>
            </w:rPr>
            <w:fldChar w:fldCharType="end"/>
          </w:r>
        </w:p>
      </w:sdtContent>
    </w:sdt>
    <w:p w:rsidR="009F49C5" w:rsidRDefault="009F49C5">
      <w:pPr>
        <w:rPr>
          <w:rFonts w:asciiTheme="majorHAnsi" w:eastAsiaTheme="majorEastAsia" w:hAnsiTheme="majorHAnsi" w:cstheme="majorBidi"/>
          <w:b/>
          <w:bCs/>
          <w:color w:val="365F91" w:themeColor="accent1" w:themeShade="BF"/>
          <w:sz w:val="28"/>
          <w:szCs w:val="28"/>
        </w:rPr>
      </w:pPr>
      <w:r>
        <w:br w:type="page"/>
      </w:r>
    </w:p>
    <w:p w:rsidR="00AC16D7" w:rsidRDefault="00C20E57" w:rsidP="0069463B">
      <w:pPr>
        <w:pStyle w:val="Kop1"/>
        <w:numPr>
          <w:ilvl w:val="0"/>
          <w:numId w:val="1"/>
        </w:numPr>
      </w:pPr>
      <w:bookmarkStart w:id="3" w:name="_Toc436144453"/>
      <w:bookmarkStart w:id="4" w:name="_Toc478655802"/>
      <w:bookmarkEnd w:id="1"/>
      <w:r>
        <w:lastRenderedPageBreak/>
        <w:t>Voorwoord</w:t>
      </w:r>
      <w:bookmarkEnd w:id="3"/>
      <w:bookmarkEnd w:id="4"/>
    </w:p>
    <w:p w:rsidR="00C521FC" w:rsidRPr="00C521FC" w:rsidRDefault="00C521FC" w:rsidP="00C521FC"/>
    <w:p w:rsidR="008F4EC9" w:rsidRPr="008F4EC9" w:rsidRDefault="008F4EC9" w:rsidP="008F4EC9">
      <w:pPr>
        <w:autoSpaceDE w:val="0"/>
        <w:autoSpaceDN w:val="0"/>
        <w:adjustRightInd w:val="0"/>
        <w:spacing w:after="0" w:line="240" w:lineRule="auto"/>
        <w:rPr>
          <w:u w:val="single"/>
        </w:rPr>
      </w:pPr>
      <w:r w:rsidRPr="008F4EC9">
        <w:rPr>
          <w:u w:val="single"/>
        </w:rPr>
        <w:t>Vooruitblik ontwikkelingen in gemeenten</w:t>
      </w:r>
    </w:p>
    <w:p w:rsidR="008F4EC9" w:rsidRPr="008F4EC9" w:rsidRDefault="008F4EC9" w:rsidP="008F4EC9">
      <w:pPr>
        <w:autoSpaceDE w:val="0"/>
        <w:autoSpaceDN w:val="0"/>
        <w:adjustRightInd w:val="0"/>
        <w:spacing w:after="0" w:line="240" w:lineRule="auto"/>
        <w:rPr>
          <w:u w:val="single"/>
        </w:rPr>
      </w:pPr>
    </w:p>
    <w:p w:rsidR="008F4EC9" w:rsidRPr="008F4EC9" w:rsidRDefault="008F4EC9" w:rsidP="008F4EC9">
      <w:pPr>
        <w:autoSpaceDE w:val="0"/>
        <w:autoSpaceDN w:val="0"/>
        <w:adjustRightInd w:val="0"/>
        <w:spacing w:after="0" w:line="240" w:lineRule="auto"/>
      </w:pPr>
      <w:r w:rsidRPr="008F4EC9">
        <w:t xml:space="preserve">Voor de regiogemeenten, die samen de VRK in stand houden, is 2018 eerst en vooral het jaar van verkiezingen, nieuwe gemeenteraden en nieuwe colleges. Voor de meeste gemeenten in maart van dat jaar, voor Haarlemmermeer en Haarlemmerliede en Spaarnwoude gaat dat spelen in november. </w:t>
      </w:r>
    </w:p>
    <w:p w:rsid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 xml:space="preserve">Als de raadsleden hun plek hebben ingenomen en colleges zijn gevormd, zal opnieuw de agenda van de VRK worden bepaald. Door het gewijzigde aantal deelnemende gemeenten dient ook de Gemeenschappelijke Regeling te worden aangepast. Daarbij zal niet alleen gekeken worden naar de strikte consequenties van de verandering van aangesloten gemeenten. Ook zal bezien worden of de regeling in algemene zin gemoderniseerd kan worden. Het is de bedoeling te komen tot een regeling die helder is over de toedeling van taken van de VRK, en de gemeenten in de regio de mogelijkheid biedt zonder rompslomp – bij de organisatie passende – nieuwe taken te beleggen bij de VRK als verlengstuk van de gemeenten. </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 xml:space="preserve">De nieuwe gemeenteraadsleden zullen een introductie krijgen bij de VRK, waarbij wordt ingezoomd op de taken van de VRK op het gebied van veiligheid en publieke gezondheid, en de ambities die er liggen om de VRK zo nuttig mogelijk in te zetten voor de uitdagingen waar gemeenten op deze terreinen voor staan. </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F047CB">
        <w:t>Ook start met een nieuwe raadsperiode een nieuwe cyclus van het maken van risicoprofielen en beleidsplannen rampenbestrijding/crisisbeheersing. Ook het dekkingsplan brandweer zal opnieuw worde</w:t>
      </w:r>
      <w:r w:rsidR="00F047CB" w:rsidRPr="00F047CB">
        <w:t xml:space="preserve">n vastgesteld. De VRK hoopt </w:t>
      </w:r>
      <w:r w:rsidRPr="00F047CB">
        <w:t xml:space="preserve"> in het integrale veiligheidsplan van iedere gemeente goede aanknopingspunten </w:t>
      </w:r>
      <w:r w:rsidR="00F047CB" w:rsidRPr="00F047CB">
        <w:t xml:space="preserve">te vinden </w:t>
      </w:r>
      <w:r w:rsidRPr="00F047CB">
        <w:t xml:space="preserve"> voor het bepalen van de prioriteiten van de VRK. De VRK zal handvatten aanreiken aan gemeenten</w:t>
      </w:r>
      <w:r w:rsidR="00F047CB" w:rsidRPr="00F047CB">
        <w:t>, waardoor zij beter</w:t>
      </w:r>
      <w:r w:rsidRPr="00F047CB">
        <w:t xml:space="preserve"> invulling </w:t>
      </w:r>
      <w:r w:rsidR="00F047CB" w:rsidRPr="00F047CB">
        <w:t>kunnen</w:t>
      </w:r>
      <w:r w:rsidRPr="00F047CB">
        <w:t xml:space="preserve"> geven aan de </w:t>
      </w:r>
      <w:r w:rsidR="00F047CB" w:rsidRPr="00F047CB">
        <w:t xml:space="preserve">gemeentelijke </w:t>
      </w:r>
      <w:r w:rsidRPr="00F047CB">
        <w:t xml:space="preserve"> rol  bij het verhogen van de brandveiligheid. De brandweer heeft op dat vlak veel uitvoerende taken, maar als het gaat om preventie en voorlichting, dan hebben de gemeenten zelf mogelijkheden die de brandweer niet heeft. Door activiteiten aan elkaar te verbinden kan effectief gewerkt worden aan de doelstelling: minder branden, minder slachtoffers, minder schade.</w:t>
      </w:r>
      <w:r w:rsidRPr="008F4EC9">
        <w:t xml:space="preserve">  </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 xml:space="preserve">De gemeenteraadsverkiezingen zullen naar verwachting ook leiden tot een nieuwe samenstelling van de bestuurscommissie Publieke Gezondheid &amp; Maatschappelijke Zorg (PG&amp;MZ), en ook van het Dagelijks Bestuur. De bestuurscommissie PG&amp;MZ zal voor deze nieuwe bestuursperiode de prioriteiten voor de GGD bepalen bij het bewaken, beschermen en bevorderen van de gezondheid in </w:t>
      </w:r>
      <w:r w:rsidRPr="00F047CB">
        <w:t xml:space="preserve">de samenleving van </w:t>
      </w:r>
      <w:r w:rsidR="003D1862" w:rsidRPr="00F047CB">
        <w:t>Kennemerland</w:t>
      </w:r>
      <w:r w:rsidRPr="00F047CB">
        <w:t>.</w:t>
      </w:r>
      <w:r w:rsidRPr="008F4EC9">
        <w:t xml:space="preserve">  </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 xml:space="preserve">De </w:t>
      </w:r>
      <w:r w:rsidR="00DC7520">
        <w:t xml:space="preserve"> </w:t>
      </w:r>
      <w:r w:rsidRPr="008F4EC9">
        <w:t xml:space="preserve">nieuwe </w:t>
      </w:r>
      <w:r w:rsidR="00F047CB">
        <w:t xml:space="preserve">leden van de </w:t>
      </w:r>
      <w:r w:rsidRPr="008F4EC9">
        <w:t>colleges zullen opnieuw moeten worden getraind en geoefend om hun rol goed te kunnen vervullen in het kader van de crisisbeheersing. Daar zal tegen die tijd een passend programma voor gereed zijn.</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 xml:space="preserve">De (nieuwe) bestuurders en raadsleden krijgen te maken met een organisatie die zich in een stabiel vaarwater bevindt, en die zich over de jaren heen heeft laten zien als een betrouwbare partner. De VRK concentreert zich als partner in eerste instantie op de belangen van de regio als geheel, omdat daarin ook de meerwaarde van een gemeenschappelijke regeling ligt, maar niet wordt vergeten dat de regio uit tien individuele gemeenten bestaat, die alle hun eigen ‘couleur </w:t>
      </w:r>
      <w:proofErr w:type="spellStart"/>
      <w:r w:rsidRPr="008F4EC9">
        <w:t>locale</w:t>
      </w:r>
      <w:proofErr w:type="spellEnd"/>
      <w:r w:rsidRPr="008F4EC9">
        <w:t xml:space="preserve">’ hebben. Waar dat mogelijk is (zonder schade aan de efficiency en effectiviteit van de gezamenlijkheid) wordt tegemoet gekomen aan lokale wensen en behoeften. </w:t>
      </w:r>
    </w:p>
    <w:p w:rsidR="008F4EC9" w:rsidRDefault="008F4EC9" w:rsidP="008F4EC9">
      <w:pPr>
        <w:autoSpaceDE w:val="0"/>
        <w:autoSpaceDN w:val="0"/>
        <w:adjustRightInd w:val="0"/>
        <w:spacing w:after="0" w:line="240" w:lineRule="auto"/>
      </w:pPr>
    </w:p>
    <w:p w:rsidR="00DC7520" w:rsidRPr="008F4EC9" w:rsidRDefault="00DC7520"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rPr>
          <w:u w:val="single"/>
        </w:rPr>
      </w:pPr>
      <w:r w:rsidRPr="008F4EC9">
        <w:rPr>
          <w:u w:val="single"/>
        </w:rPr>
        <w:t>Overige bijzonderheden 2018</w:t>
      </w:r>
    </w:p>
    <w:p w:rsidR="008F4EC9" w:rsidRPr="008F4EC9" w:rsidRDefault="008F4EC9" w:rsidP="008F4EC9">
      <w:pPr>
        <w:autoSpaceDE w:val="0"/>
        <w:autoSpaceDN w:val="0"/>
        <w:adjustRightInd w:val="0"/>
        <w:spacing w:after="0" w:line="240" w:lineRule="auto"/>
      </w:pPr>
      <w:r w:rsidRPr="008F4EC9">
        <w:t xml:space="preserve">In 2019 treedt naar verwachting de Omgevingswet in werking. Bij ruimtelijke ontwikkelingen dienen integraal alle betrokken belangen afgewogen te worden. Gezondheid en veiligheid horen bij die belangen. Ter voorbereiding op die adviesrol zal de VRK zich goed </w:t>
      </w:r>
      <w:r w:rsidR="00DC7520">
        <w:t>oriënteren</w:t>
      </w:r>
      <w:r w:rsidRPr="008F4EC9">
        <w:t xml:space="preserve"> op de kaders van de nieuwe wet.</w:t>
      </w:r>
    </w:p>
    <w:p w:rsidR="008F4EC9" w:rsidRPr="008F4EC9" w:rsidRDefault="008F4EC9" w:rsidP="008F4EC9">
      <w:pPr>
        <w:autoSpaceDE w:val="0"/>
        <w:autoSpaceDN w:val="0"/>
        <w:adjustRightInd w:val="0"/>
        <w:spacing w:after="0" w:line="240" w:lineRule="auto"/>
      </w:pPr>
    </w:p>
    <w:p w:rsidR="008F4EC9" w:rsidRPr="008F4EC9" w:rsidRDefault="008F4EC9" w:rsidP="008F4EC9">
      <w:pPr>
        <w:autoSpaceDE w:val="0"/>
        <w:autoSpaceDN w:val="0"/>
        <w:adjustRightInd w:val="0"/>
        <w:spacing w:after="0" w:line="240" w:lineRule="auto"/>
      </w:pPr>
      <w:r w:rsidRPr="008F4EC9">
        <w:t>Verder is 2018 het jaar waarin de nieuwe meldkamer voor de veiligheidsregio’s Kennemerland, Zaanstreek-Waterland en Noord-Holland Noord zijn deuren zal openen, in de gezamenlijke locatie op de Zijlweg in Haarlem. De schaalvergroting leidt tot een meldkamer, die beter dan nu, in staat zal zijn om grootschalige calamiteiten adequaat het hoofd te bieden op een hoger kwaliteitsniveau dan nu het geval is. Voor de gemeenten voltrekt deze kwaliteitsverbetering in 2018 zich zonder extra kosten.</w:t>
      </w:r>
    </w:p>
    <w:p w:rsidR="00D6032C" w:rsidRPr="008F4EC9" w:rsidRDefault="00D6032C" w:rsidP="009759C1">
      <w:pPr>
        <w:autoSpaceDE w:val="0"/>
        <w:autoSpaceDN w:val="0"/>
        <w:adjustRightInd w:val="0"/>
        <w:spacing w:after="0" w:line="240" w:lineRule="auto"/>
      </w:pPr>
    </w:p>
    <w:p w:rsidR="00403148" w:rsidRPr="00EE648C" w:rsidRDefault="00403148" w:rsidP="00EE648C">
      <w:r>
        <w:br w:type="page"/>
      </w:r>
    </w:p>
    <w:p w:rsidR="00C20E57" w:rsidRDefault="00C20E57" w:rsidP="0069463B">
      <w:pPr>
        <w:pStyle w:val="Kop1"/>
        <w:numPr>
          <w:ilvl w:val="0"/>
          <w:numId w:val="1"/>
        </w:numPr>
      </w:pPr>
      <w:bookmarkStart w:id="5" w:name="_Toc436144454"/>
      <w:bookmarkStart w:id="6" w:name="_Toc478655803"/>
      <w:r>
        <w:lastRenderedPageBreak/>
        <w:t>Programma’s</w:t>
      </w:r>
      <w:bookmarkEnd w:id="5"/>
      <w:bookmarkEnd w:id="6"/>
    </w:p>
    <w:p w:rsidR="0048602B" w:rsidRDefault="0048602B" w:rsidP="0048602B">
      <w:pPr>
        <w:widowControl w:val="0"/>
        <w:spacing w:after="0" w:line="260" w:lineRule="atLeast"/>
        <w:jc w:val="both"/>
        <w:rPr>
          <w:rFonts w:ascii="Verdana" w:eastAsia="Times New Roman" w:hAnsi="Verdana" w:cs="Times New Roman"/>
          <w:sz w:val="18"/>
          <w:szCs w:val="20"/>
          <w:u w:val="single"/>
          <w:lang w:eastAsia="nl-NL"/>
        </w:rPr>
      </w:pPr>
    </w:p>
    <w:p w:rsidR="0048602B" w:rsidRPr="0048602B" w:rsidRDefault="0048602B" w:rsidP="0048602B">
      <w:pPr>
        <w:rPr>
          <w:b/>
        </w:rPr>
      </w:pPr>
      <w:r w:rsidRPr="0048602B">
        <w:rPr>
          <w:b/>
        </w:rPr>
        <w:t>Vernieuwing BBV</w:t>
      </w:r>
    </w:p>
    <w:p w:rsidR="0048602B" w:rsidRPr="0048602B" w:rsidRDefault="0048602B" w:rsidP="0048602B">
      <w:pPr>
        <w:widowControl w:val="0"/>
        <w:spacing w:after="0" w:line="260" w:lineRule="atLeast"/>
        <w:jc w:val="both"/>
        <w:rPr>
          <w:rFonts w:ascii="Verdana" w:eastAsia="Times New Roman" w:hAnsi="Verdana" w:cs="Times New Roman"/>
          <w:sz w:val="18"/>
          <w:szCs w:val="20"/>
          <w:lang w:eastAsia="nl-NL"/>
        </w:rPr>
      </w:pPr>
      <w:r w:rsidRPr="0048602B">
        <w:rPr>
          <w:rFonts w:ascii="Verdana" w:eastAsia="Times New Roman" w:hAnsi="Verdana" w:cs="Times New Roman"/>
          <w:sz w:val="18"/>
          <w:szCs w:val="20"/>
          <w:lang w:eastAsia="nl-NL"/>
        </w:rPr>
        <w:t>De vernieuwing BBV maakt dat de vergelijking op productniveau tussen de cijfers 2018 en 2017 niet mogelijk is. De vernieuwing BBV schrijft voor dat er geen overhead meer toegerekend mag worden aan producten. De overhead van de VRK is te vinden op het programma Interne dienstverlening.</w:t>
      </w:r>
    </w:p>
    <w:p w:rsidR="00C20E57" w:rsidRPr="00C20E57" w:rsidRDefault="00C20E57" w:rsidP="00C20E57"/>
    <w:p w:rsidR="00AC16D7" w:rsidRDefault="00AC16D7" w:rsidP="0069463B">
      <w:pPr>
        <w:pStyle w:val="Kop2"/>
        <w:numPr>
          <w:ilvl w:val="1"/>
          <w:numId w:val="1"/>
        </w:numPr>
      </w:pPr>
      <w:bookmarkStart w:id="7" w:name="_Toc436144455"/>
      <w:bookmarkStart w:id="8" w:name="_Toc478655804"/>
      <w:r>
        <w:t>Programma Publieke Gezondheid</w:t>
      </w:r>
      <w:bookmarkEnd w:id="7"/>
      <w:bookmarkEnd w:id="8"/>
    </w:p>
    <w:p w:rsidR="00DC3F6F" w:rsidRPr="00DC3F6F" w:rsidRDefault="00DC3F6F" w:rsidP="00486B4A">
      <w:pPr>
        <w:pStyle w:val="Geenafstand"/>
      </w:pPr>
    </w:p>
    <w:p w:rsidR="00BF0184" w:rsidRDefault="00BF0184" w:rsidP="003542F3">
      <w:pPr>
        <w:rPr>
          <w:b/>
        </w:rPr>
      </w:pPr>
      <w:r w:rsidRPr="003542F3">
        <w:rPr>
          <w:b/>
        </w:rPr>
        <w:t>Ambitie van het programma</w:t>
      </w:r>
    </w:p>
    <w:p w:rsidR="00B77ADE" w:rsidRPr="00B77ADE" w:rsidRDefault="00B77ADE" w:rsidP="00B77ADE">
      <w:r w:rsidRPr="00B77ADE">
        <w:t>De GGD Kennemerland bevordert, bewaakt en beschermt de gezondheid en veiligheid van de inwoners, ondernemers en in de regio verblijvende bezoekers en recreanten. Dit gebeurt door het, in samenwerking, met (keten)partners doelmatig en doeltreffend uitvoeren van de wettelijke taken op het gebied van Publieke Gezondheid en het bieden van speciale arrangementen voor lokale behoeften op dat gebied.</w:t>
      </w:r>
    </w:p>
    <w:p w:rsidR="00B77ADE" w:rsidRPr="00B77ADE" w:rsidRDefault="00B77ADE" w:rsidP="00B77ADE">
      <w:pPr>
        <w:rPr>
          <w:b/>
        </w:rPr>
      </w:pPr>
      <w:r w:rsidRPr="00B77ADE">
        <w:rPr>
          <w:b/>
        </w:rPr>
        <w:t xml:space="preserve">Uitgangspunten van beleid </w:t>
      </w:r>
    </w:p>
    <w:p w:rsidR="00B77ADE" w:rsidRPr="00B77ADE" w:rsidRDefault="00B77ADE" w:rsidP="00B77ADE">
      <w:r w:rsidRPr="00B77ADE">
        <w:t>Publieke gezondheid is “...alle gezondheid beschermende en</w:t>
      </w:r>
      <w:r w:rsidR="005615F6">
        <w:t xml:space="preserve"> </w:t>
      </w:r>
      <w:r w:rsidRPr="00B77ADE">
        <w:t>bevorderende maatregelen voor de bevolking of specifieke groepen daaruit, waaronder begrepen het voorkomen en het vroegtijdig opsporen van ziekten”( Wet publieke gezondheid (</w:t>
      </w:r>
      <w:proofErr w:type="spellStart"/>
      <w:r w:rsidRPr="00B77ADE">
        <w:t>Wpg</w:t>
      </w:r>
      <w:proofErr w:type="spellEnd"/>
      <w:r w:rsidRPr="00B77ADE">
        <w:t>).</w:t>
      </w:r>
    </w:p>
    <w:p w:rsidR="00B77ADE" w:rsidRPr="00B77ADE" w:rsidRDefault="00B77ADE" w:rsidP="00B77ADE">
      <w:r w:rsidRPr="00B77ADE">
        <w:t xml:space="preserve">De gemeenten zijn wettelijk verantwoordelijk voor de uitvoering van de taken op het gebied van de publieke gezondheidszorg. Daarnaast bewaken zij de samenhang en afstemming met de curatieve gezondheidszorg en de geneeskundige hulpverlening bij ongevallen en rampen. </w:t>
      </w:r>
    </w:p>
    <w:p w:rsidR="00B77ADE" w:rsidRPr="00B77ADE" w:rsidRDefault="00B77ADE" w:rsidP="00B77ADE">
      <w:r w:rsidRPr="00B77ADE">
        <w:t>Het ministerie van Volksgezondheid Welzijn en Sport (VWS) stelt elke vier jaar de landelijke prioriteiten voor collectieve preventie vast. Vervolgens stellen gemeenten elke vier jaar hun actiepunten voor lokaal gezondheidsbeleid vast.</w:t>
      </w:r>
    </w:p>
    <w:p w:rsidR="00B77ADE" w:rsidRPr="00B77ADE" w:rsidRDefault="00B77ADE" w:rsidP="00B77ADE">
      <w:r w:rsidRPr="00B77ADE">
        <w:t xml:space="preserve">Daarin ligt de nadruk op het stimuleren van de eigen verantwoordelijkheid en eigen kracht van mensen. Gezond leven is een keuze en de verantwoordelijkheid hiervoor ligt allereerst bij de burger zelf ( ‘Gezondheid dichtbij’ VWS). Kiezen voor gezond leven is echter niet eenvoudig. Mensen kunnen meer tot gezonde keuze worden verleid door de samenleving zo in te richten dat het makkelijker wordt een gezonde keuze te maken. De overheid en landelijke en lokale partijen moeten hier gezamenlijk aan bijdragen. </w:t>
      </w:r>
    </w:p>
    <w:p w:rsidR="00B77ADE" w:rsidRPr="00B77ADE" w:rsidRDefault="00B77ADE" w:rsidP="00B77ADE">
      <w:r w:rsidRPr="00B77ADE">
        <w:t xml:space="preserve">Naast de eigen verantwoordelijkheid voor een gezonde leefstijl benadrukt VWS dat burgers er op moeten kunnen vertrouwen dat de overheid hen beschermt tegen collectieve risicofactoren, die ze niet zelf kunnen beïnvloeden. </w:t>
      </w:r>
    </w:p>
    <w:p w:rsidR="00B77ADE" w:rsidRPr="00B77ADE" w:rsidRDefault="00B77ADE" w:rsidP="00B77ADE">
      <w:r w:rsidRPr="00B77ADE">
        <w:t xml:space="preserve">De gemeenten in Kennemerland hebben hun wettelijk plicht om een GGD in stand te houden voor de uitvoering van de taken op het gebied van de publieke gezondheidszorg, ingevuld met het </w:t>
      </w:r>
      <w:r w:rsidRPr="00B77ADE">
        <w:lastRenderedPageBreak/>
        <w:t xml:space="preserve">onderbrengen van de GGD in de −ook wettelijk voorgeschreven −gemeenschappelijke regeling voor de Veiligheidsregio. </w:t>
      </w:r>
    </w:p>
    <w:p w:rsidR="00B77ADE" w:rsidRPr="00B77ADE" w:rsidRDefault="00B77ADE" w:rsidP="00B77ADE">
      <w:r w:rsidRPr="00B77ADE">
        <w:t xml:space="preserve">Langs die weg wordt in Kennemerland gezorgd voor bevordering van de gezondheid van de samenleving en het voorkomen van ziekten bij met name kwetsbare groepen. Stimuleren van zelfredzaamheid, de eigen kracht en verantwoordelijkheid van burgers en instellingen is daarin leidend. </w:t>
      </w:r>
    </w:p>
    <w:p w:rsidR="00B77ADE" w:rsidRPr="00B77ADE" w:rsidRDefault="00B77ADE" w:rsidP="00B77ADE">
      <w:r w:rsidRPr="00B77ADE">
        <w:t>Tegelijkertijd dient GGD Kennemerland zo te handelen dat burgers en instellingen erop kunnen vertrouwen dat adequaat wordt gehandeld als zich gezondheidsrisico’s in de samenleving aandienen.</w:t>
      </w:r>
    </w:p>
    <w:p w:rsidR="00B77ADE" w:rsidRPr="00B77ADE" w:rsidRDefault="00B77ADE" w:rsidP="00B77ADE">
      <w:pPr>
        <w:rPr>
          <w:b/>
        </w:rPr>
      </w:pPr>
      <w:r w:rsidRPr="00B77ADE">
        <w:rPr>
          <w:b/>
        </w:rPr>
        <w:t>Relevante Beleidsnotities en wettelijk kader</w:t>
      </w:r>
    </w:p>
    <w:p w:rsidR="00B77ADE" w:rsidRPr="00B77ADE" w:rsidRDefault="00B77ADE" w:rsidP="00B77ADE">
      <w:pPr>
        <w:numPr>
          <w:ilvl w:val="0"/>
          <w:numId w:val="3"/>
        </w:numPr>
        <w:contextualSpacing/>
      </w:pPr>
      <w:r w:rsidRPr="00B77ADE">
        <w:t>Wet Publieke Gezondheid (WPG)</w:t>
      </w:r>
    </w:p>
    <w:p w:rsidR="00B77ADE" w:rsidRPr="00B77ADE" w:rsidRDefault="00B77ADE" w:rsidP="00B77ADE">
      <w:pPr>
        <w:numPr>
          <w:ilvl w:val="0"/>
          <w:numId w:val="3"/>
        </w:numPr>
        <w:contextualSpacing/>
      </w:pPr>
      <w:r w:rsidRPr="00B77ADE">
        <w:t>WPG tweede tranche</w:t>
      </w:r>
    </w:p>
    <w:p w:rsidR="00B77ADE" w:rsidRPr="00B77ADE" w:rsidRDefault="00B77ADE" w:rsidP="00B77ADE">
      <w:pPr>
        <w:numPr>
          <w:ilvl w:val="0"/>
          <w:numId w:val="3"/>
        </w:numPr>
        <w:contextualSpacing/>
      </w:pPr>
      <w:r w:rsidRPr="00B77ADE">
        <w:t>Participatiewet</w:t>
      </w:r>
    </w:p>
    <w:p w:rsidR="00B77ADE" w:rsidRPr="00B77ADE" w:rsidRDefault="00B77ADE" w:rsidP="00B77ADE">
      <w:pPr>
        <w:numPr>
          <w:ilvl w:val="0"/>
          <w:numId w:val="3"/>
        </w:numPr>
        <w:contextualSpacing/>
      </w:pPr>
      <w:r w:rsidRPr="00B77ADE">
        <w:t>Zorgverzekeringswet</w:t>
      </w:r>
    </w:p>
    <w:p w:rsidR="00B77ADE" w:rsidRPr="00B77ADE" w:rsidRDefault="00B77ADE" w:rsidP="00B77ADE">
      <w:pPr>
        <w:numPr>
          <w:ilvl w:val="0"/>
          <w:numId w:val="3"/>
        </w:numPr>
        <w:contextualSpacing/>
      </w:pPr>
      <w:r w:rsidRPr="00B77ADE">
        <w:t>Wet kwaliteit, klachten en geschillen zorg (</w:t>
      </w:r>
      <w:proofErr w:type="spellStart"/>
      <w:r w:rsidRPr="00B77ADE">
        <w:t>Wkkgz</w:t>
      </w:r>
      <w:proofErr w:type="spellEnd"/>
      <w:r w:rsidRPr="00B77ADE">
        <w:t xml:space="preserve">) </w:t>
      </w:r>
    </w:p>
    <w:p w:rsidR="00B77ADE" w:rsidRPr="00B77ADE" w:rsidRDefault="00B77ADE" w:rsidP="00B77ADE">
      <w:pPr>
        <w:numPr>
          <w:ilvl w:val="0"/>
          <w:numId w:val="3"/>
        </w:numPr>
        <w:contextualSpacing/>
      </w:pPr>
      <w:r w:rsidRPr="00B77ADE">
        <w:t>Wet op de geneeskundige behandelingsovereenkomst (</w:t>
      </w:r>
      <w:proofErr w:type="spellStart"/>
      <w:r w:rsidRPr="00B77ADE">
        <w:t>Wgbo</w:t>
      </w:r>
      <w:proofErr w:type="spellEnd"/>
      <w:r w:rsidRPr="00B77ADE">
        <w:t>)</w:t>
      </w:r>
    </w:p>
    <w:p w:rsidR="00B77ADE" w:rsidRPr="00B77ADE" w:rsidRDefault="00B77ADE" w:rsidP="00B77ADE">
      <w:pPr>
        <w:numPr>
          <w:ilvl w:val="0"/>
          <w:numId w:val="3"/>
        </w:numPr>
        <w:contextualSpacing/>
      </w:pPr>
      <w:r w:rsidRPr="00B77ADE">
        <w:t>Wet Bescherming Persoonsgegevens (WBP)</w:t>
      </w:r>
    </w:p>
    <w:p w:rsidR="00B77ADE" w:rsidRPr="00B77ADE" w:rsidRDefault="00B77ADE" w:rsidP="00B77ADE">
      <w:pPr>
        <w:numPr>
          <w:ilvl w:val="0"/>
          <w:numId w:val="3"/>
        </w:numPr>
        <w:contextualSpacing/>
      </w:pPr>
      <w:r w:rsidRPr="00B77ADE">
        <w:t>Wet gebruik Burgerservicenummer in de zorg</w:t>
      </w:r>
    </w:p>
    <w:p w:rsidR="00B77ADE" w:rsidRPr="00B77ADE" w:rsidRDefault="00B77ADE" w:rsidP="00B77ADE">
      <w:pPr>
        <w:numPr>
          <w:ilvl w:val="0"/>
          <w:numId w:val="3"/>
        </w:numPr>
        <w:contextualSpacing/>
      </w:pPr>
      <w:r w:rsidRPr="00B77ADE">
        <w:t>Politiewet</w:t>
      </w:r>
    </w:p>
    <w:p w:rsidR="00B77ADE" w:rsidRPr="00B77ADE" w:rsidRDefault="00B77ADE" w:rsidP="00B77ADE">
      <w:pPr>
        <w:numPr>
          <w:ilvl w:val="0"/>
          <w:numId w:val="3"/>
        </w:numPr>
        <w:contextualSpacing/>
      </w:pPr>
      <w:r w:rsidRPr="00B77ADE">
        <w:t>Wet op de Lijkbezorging, artikel 4</w:t>
      </w:r>
    </w:p>
    <w:p w:rsidR="00B77ADE" w:rsidRPr="00B77ADE" w:rsidRDefault="00B77ADE" w:rsidP="00B77ADE">
      <w:pPr>
        <w:numPr>
          <w:ilvl w:val="0"/>
          <w:numId w:val="3"/>
        </w:numPr>
        <w:contextualSpacing/>
      </w:pPr>
      <w:r w:rsidRPr="00B77ADE">
        <w:t>Wet kinderopvang</w:t>
      </w:r>
    </w:p>
    <w:p w:rsidR="00B77ADE" w:rsidRPr="00B77ADE" w:rsidRDefault="00B77ADE" w:rsidP="00B77ADE">
      <w:pPr>
        <w:numPr>
          <w:ilvl w:val="0"/>
          <w:numId w:val="3"/>
        </w:numPr>
        <w:contextualSpacing/>
      </w:pPr>
      <w:r w:rsidRPr="00B77ADE">
        <w:t>Omgevingswet</w:t>
      </w:r>
    </w:p>
    <w:p w:rsidR="00B77ADE" w:rsidRPr="00B77ADE" w:rsidRDefault="00B77ADE" w:rsidP="00B77ADE">
      <w:pPr>
        <w:numPr>
          <w:ilvl w:val="0"/>
          <w:numId w:val="3"/>
        </w:numPr>
        <w:contextualSpacing/>
      </w:pPr>
      <w:r w:rsidRPr="00B77ADE">
        <w:t>Warenwetbesluit tatoeëren en piercen</w:t>
      </w:r>
    </w:p>
    <w:p w:rsidR="00B77ADE" w:rsidRPr="00B77ADE" w:rsidRDefault="00B77ADE" w:rsidP="00B77ADE">
      <w:pPr>
        <w:numPr>
          <w:ilvl w:val="0"/>
          <w:numId w:val="3"/>
        </w:numPr>
        <w:contextualSpacing/>
      </w:pPr>
      <w:r w:rsidRPr="00B77ADE">
        <w:t xml:space="preserve">International Health </w:t>
      </w:r>
      <w:proofErr w:type="spellStart"/>
      <w:r w:rsidRPr="00B77ADE">
        <w:t>Regulations</w:t>
      </w:r>
      <w:proofErr w:type="spellEnd"/>
      <w:r w:rsidRPr="00B77ADE">
        <w:t xml:space="preserve"> (IHR)</w:t>
      </w:r>
    </w:p>
    <w:p w:rsidR="00B77ADE" w:rsidRPr="00B77ADE" w:rsidRDefault="00B77ADE" w:rsidP="00B77ADE">
      <w:pPr>
        <w:numPr>
          <w:ilvl w:val="0"/>
          <w:numId w:val="3"/>
        </w:numPr>
        <w:contextualSpacing/>
        <w:rPr>
          <w:b/>
        </w:rPr>
      </w:pPr>
      <w:r w:rsidRPr="00B77ADE">
        <w:t>Wet Maatschappelijke Ondersteuning (WMO)</w:t>
      </w:r>
    </w:p>
    <w:p w:rsidR="00B77ADE" w:rsidRPr="00B77ADE" w:rsidRDefault="00B77ADE" w:rsidP="00B77ADE">
      <w:pPr>
        <w:numPr>
          <w:ilvl w:val="0"/>
          <w:numId w:val="3"/>
        </w:numPr>
        <w:contextualSpacing/>
      </w:pPr>
      <w:r w:rsidRPr="00B77ADE">
        <w:t>Landelijk volksgezondheidsbeleid</w:t>
      </w:r>
    </w:p>
    <w:p w:rsidR="00B77ADE" w:rsidRPr="00B77ADE" w:rsidRDefault="00B77ADE" w:rsidP="00B77ADE">
      <w:pPr>
        <w:numPr>
          <w:ilvl w:val="0"/>
          <w:numId w:val="3"/>
        </w:numPr>
        <w:contextualSpacing/>
      </w:pPr>
      <w:r w:rsidRPr="00B77ADE">
        <w:t xml:space="preserve">Regionale nota volksgezondheid </w:t>
      </w:r>
    </w:p>
    <w:p w:rsidR="00B77ADE" w:rsidRPr="00B77ADE" w:rsidRDefault="00B77ADE" w:rsidP="00B77ADE">
      <w:pPr>
        <w:numPr>
          <w:ilvl w:val="0"/>
          <w:numId w:val="3"/>
        </w:numPr>
        <w:contextualSpacing/>
      </w:pPr>
      <w:r w:rsidRPr="00B77ADE">
        <w:t>Regionaal Kompas</w:t>
      </w:r>
    </w:p>
    <w:p w:rsidR="00B77ADE" w:rsidRPr="00B77ADE" w:rsidRDefault="00B77ADE" w:rsidP="00B77ADE">
      <w:pPr>
        <w:numPr>
          <w:ilvl w:val="0"/>
          <w:numId w:val="3"/>
        </w:numPr>
        <w:contextualSpacing/>
        <w:rPr>
          <w:b/>
        </w:rPr>
      </w:pPr>
      <w:r w:rsidRPr="00B77ADE">
        <w:t xml:space="preserve">LCI Richtlijn </w:t>
      </w:r>
      <w:proofErr w:type="spellStart"/>
      <w:r w:rsidRPr="00B77ADE">
        <w:t>Infectieziektenbestrijding</w:t>
      </w:r>
      <w:proofErr w:type="spellEnd"/>
    </w:p>
    <w:p w:rsidR="00B77ADE" w:rsidRPr="00B77ADE" w:rsidRDefault="00B77ADE" w:rsidP="00B77ADE">
      <w:pPr>
        <w:rPr>
          <w:b/>
        </w:rPr>
      </w:pPr>
      <w:r w:rsidRPr="00B77ADE">
        <w:rPr>
          <w:b/>
        </w:rPr>
        <w:t>Risico’s</w:t>
      </w:r>
    </w:p>
    <w:tbl>
      <w:tblPr>
        <w:tblStyle w:val="Tabelraster8"/>
        <w:tblW w:w="9180" w:type="dxa"/>
        <w:tblLook w:val="04A0" w:firstRow="1" w:lastRow="0" w:firstColumn="1" w:lastColumn="0" w:noHBand="0" w:noVBand="1"/>
      </w:tblPr>
      <w:tblGrid>
        <w:gridCol w:w="3070"/>
        <w:gridCol w:w="6110"/>
      </w:tblGrid>
      <w:tr w:rsidR="00B77ADE" w:rsidRPr="00B77ADE" w:rsidTr="001434D1">
        <w:tc>
          <w:tcPr>
            <w:tcW w:w="3070" w:type="dxa"/>
            <w:shd w:val="clear" w:color="auto" w:fill="C6D9F1" w:themeFill="text2" w:themeFillTint="33"/>
          </w:tcPr>
          <w:p w:rsidR="00B77ADE" w:rsidRPr="00B77ADE" w:rsidRDefault="00B77ADE" w:rsidP="00B77ADE">
            <w:r w:rsidRPr="00B77ADE">
              <w:t>Risico</w:t>
            </w:r>
          </w:p>
        </w:tc>
        <w:tc>
          <w:tcPr>
            <w:tcW w:w="6110" w:type="dxa"/>
            <w:shd w:val="clear" w:color="auto" w:fill="C6D9F1" w:themeFill="text2" w:themeFillTint="33"/>
          </w:tcPr>
          <w:p w:rsidR="00B77ADE" w:rsidRPr="00B77ADE" w:rsidRDefault="00B77ADE" w:rsidP="00B77ADE">
            <w:r w:rsidRPr="00B77ADE">
              <w:t>Beheersmaatregel</w:t>
            </w:r>
          </w:p>
        </w:tc>
      </w:tr>
      <w:tr w:rsidR="00B77ADE" w:rsidRPr="00B77ADE" w:rsidTr="001434D1">
        <w:tc>
          <w:tcPr>
            <w:tcW w:w="3070" w:type="dxa"/>
          </w:tcPr>
          <w:p w:rsidR="00B77ADE" w:rsidRPr="00B77ADE" w:rsidRDefault="00B77ADE" w:rsidP="00B77ADE">
            <w:r w:rsidRPr="00B77ADE">
              <w:t>Niet adequaat medisch handelen</w:t>
            </w:r>
          </w:p>
        </w:tc>
        <w:tc>
          <w:tcPr>
            <w:tcW w:w="6110" w:type="dxa"/>
          </w:tcPr>
          <w:p w:rsidR="00B77ADE" w:rsidRPr="00B77ADE" w:rsidRDefault="00B77ADE" w:rsidP="00B77ADE">
            <w:pPr>
              <w:numPr>
                <w:ilvl w:val="0"/>
                <w:numId w:val="4"/>
              </w:numPr>
              <w:contextualSpacing/>
            </w:pPr>
            <w:r w:rsidRPr="00B77ADE">
              <w:t>deskundige, goed opgeleide medewerkers, die jaarlijks trainingen en bijscholingen volgen</w:t>
            </w:r>
          </w:p>
          <w:p w:rsidR="00B77ADE" w:rsidRPr="00B77ADE" w:rsidRDefault="00B77ADE" w:rsidP="00B77ADE">
            <w:pPr>
              <w:numPr>
                <w:ilvl w:val="0"/>
                <w:numId w:val="4"/>
              </w:numPr>
              <w:contextualSpacing/>
            </w:pPr>
            <w:r w:rsidRPr="00B77ADE">
              <w:t>melden en bespreken van (bijna) fouten en (bijna) incidenten</w:t>
            </w:r>
          </w:p>
          <w:p w:rsidR="00B77ADE" w:rsidRPr="00B77ADE" w:rsidRDefault="00B77ADE" w:rsidP="00B77ADE">
            <w:pPr>
              <w:numPr>
                <w:ilvl w:val="0"/>
                <w:numId w:val="4"/>
              </w:numPr>
              <w:contextualSpacing/>
            </w:pPr>
            <w:r w:rsidRPr="00B77ADE">
              <w:t xml:space="preserve">klachten over dienstverlening serieus nemen </w:t>
            </w:r>
          </w:p>
          <w:p w:rsidR="00B77ADE" w:rsidRPr="00B77ADE" w:rsidRDefault="00B77ADE" w:rsidP="00B77ADE">
            <w:pPr>
              <w:numPr>
                <w:ilvl w:val="0"/>
                <w:numId w:val="4"/>
              </w:numPr>
              <w:contextualSpacing/>
            </w:pPr>
            <w:r w:rsidRPr="00B77ADE">
              <w:t>leer- en verbeterpunten doorvoeren in de betreffende werkprocessen</w:t>
            </w:r>
          </w:p>
        </w:tc>
      </w:tr>
      <w:tr w:rsidR="00B77ADE" w:rsidRPr="00B77ADE" w:rsidTr="001434D1">
        <w:tc>
          <w:tcPr>
            <w:tcW w:w="3070" w:type="dxa"/>
          </w:tcPr>
          <w:p w:rsidR="00B77ADE" w:rsidRPr="00B77ADE" w:rsidRDefault="00B77ADE" w:rsidP="00B77ADE">
            <w:r w:rsidRPr="00B77ADE">
              <w:t>Onvoldoende inspelen op nieuwe wetgeving;</w:t>
            </w:r>
          </w:p>
          <w:p w:rsidR="00B77ADE" w:rsidRPr="00B77ADE" w:rsidRDefault="00B77ADE" w:rsidP="00B77ADE"/>
        </w:tc>
        <w:tc>
          <w:tcPr>
            <w:tcW w:w="6110" w:type="dxa"/>
          </w:tcPr>
          <w:p w:rsidR="00B77ADE" w:rsidRPr="00B77ADE" w:rsidRDefault="00B77ADE" w:rsidP="00B77ADE">
            <w:pPr>
              <w:numPr>
                <w:ilvl w:val="0"/>
                <w:numId w:val="5"/>
              </w:numPr>
              <w:contextualSpacing/>
            </w:pPr>
            <w:r w:rsidRPr="00B77ADE">
              <w:t>tijdig anticiperen op (aangekondigde) wetswijzigingen</w:t>
            </w:r>
          </w:p>
          <w:p w:rsidR="00B77ADE" w:rsidRPr="00B77ADE" w:rsidRDefault="00B77ADE" w:rsidP="00B77ADE">
            <w:pPr>
              <w:numPr>
                <w:ilvl w:val="0"/>
                <w:numId w:val="5"/>
              </w:numPr>
              <w:contextualSpacing/>
            </w:pPr>
            <w:r w:rsidRPr="00B77ADE">
              <w:t>wijzigingen in alle betreffende werkprocessen doorvoeren</w:t>
            </w:r>
          </w:p>
        </w:tc>
      </w:tr>
      <w:tr w:rsidR="00B77ADE" w:rsidRPr="00B77ADE" w:rsidTr="001434D1">
        <w:tc>
          <w:tcPr>
            <w:tcW w:w="3070" w:type="dxa"/>
          </w:tcPr>
          <w:p w:rsidR="00B77ADE" w:rsidRPr="00B77ADE" w:rsidRDefault="00B77ADE" w:rsidP="00B77ADE">
            <w:r w:rsidRPr="00B77ADE">
              <w:t>suboptimale samenwerking met onze ketenpartners;</w:t>
            </w:r>
          </w:p>
          <w:p w:rsidR="00B77ADE" w:rsidRPr="00B77ADE" w:rsidRDefault="00B77ADE" w:rsidP="00B77ADE"/>
        </w:tc>
        <w:tc>
          <w:tcPr>
            <w:tcW w:w="6110" w:type="dxa"/>
          </w:tcPr>
          <w:p w:rsidR="00B77ADE" w:rsidRPr="00B77ADE" w:rsidRDefault="00B77ADE" w:rsidP="00B77ADE">
            <w:pPr>
              <w:numPr>
                <w:ilvl w:val="0"/>
                <w:numId w:val="6"/>
              </w:numPr>
              <w:contextualSpacing/>
            </w:pPr>
            <w:r w:rsidRPr="00B77ADE">
              <w:t>afstemmen dienstverlening met ketenpartners, zowel structureel als incidenteel</w:t>
            </w:r>
          </w:p>
          <w:p w:rsidR="00B77ADE" w:rsidRPr="00B77ADE" w:rsidRDefault="00B77ADE" w:rsidP="00B77ADE">
            <w:pPr>
              <w:numPr>
                <w:ilvl w:val="0"/>
                <w:numId w:val="6"/>
              </w:numPr>
              <w:contextualSpacing/>
            </w:pPr>
            <w:r w:rsidRPr="00B77ADE">
              <w:t xml:space="preserve">gezamenlijke inspanningen evalueren, en leer- en </w:t>
            </w:r>
            <w:r w:rsidRPr="00B77ADE">
              <w:lastRenderedPageBreak/>
              <w:t>verbeterpunten in de betreffende samenwerking en/of werkprocessen doorvoeren</w:t>
            </w:r>
          </w:p>
        </w:tc>
      </w:tr>
      <w:tr w:rsidR="00B77ADE" w:rsidRPr="00B77ADE" w:rsidTr="001434D1">
        <w:tc>
          <w:tcPr>
            <w:tcW w:w="3070" w:type="dxa"/>
          </w:tcPr>
          <w:p w:rsidR="00B77ADE" w:rsidRPr="00B77ADE" w:rsidRDefault="00B77ADE" w:rsidP="00B77ADE">
            <w:r w:rsidRPr="00B77ADE">
              <w:lastRenderedPageBreak/>
              <w:t>Adviezen worden niet opgevolgd</w:t>
            </w:r>
          </w:p>
        </w:tc>
        <w:tc>
          <w:tcPr>
            <w:tcW w:w="6110" w:type="dxa"/>
          </w:tcPr>
          <w:p w:rsidR="00B77ADE" w:rsidRPr="00B77ADE" w:rsidRDefault="00B77ADE" w:rsidP="00B77ADE">
            <w:pPr>
              <w:numPr>
                <w:ilvl w:val="0"/>
                <w:numId w:val="7"/>
              </w:numPr>
              <w:contextualSpacing/>
            </w:pPr>
            <w:r w:rsidRPr="00B77ADE">
              <w:t>aansluiten bij de behoefte van de klant (gemeenten, ketenpartners, burgers)</w:t>
            </w:r>
          </w:p>
          <w:p w:rsidR="00B77ADE" w:rsidRPr="00B77ADE" w:rsidRDefault="00B77ADE" w:rsidP="00B77ADE">
            <w:pPr>
              <w:numPr>
                <w:ilvl w:val="0"/>
                <w:numId w:val="7"/>
              </w:numPr>
              <w:contextualSpacing/>
            </w:pPr>
            <w:r w:rsidRPr="00B77ADE">
              <w:t>geven van professionele, onderbouwde adviezen</w:t>
            </w:r>
          </w:p>
        </w:tc>
      </w:tr>
    </w:tbl>
    <w:p w:rsidR="00B77ADE" w:rsidRPr="003542F3" w:rsidRDefault="00B77ADE" w:rsidP="003542F3">
      <w:pPr>
        <w:rPr>
          <w:b/>
        </w:rPr>
      </w:pPr>
    </w:p>
    <w:p w:rsidR="00BF0184" w:rsidRPr="003542F3" w:rsidRDefault="00BF0184" w:rsidP="003542F3">
      <w:pPr>
        <w:rPr>
          <w:b/>
        </w:rPr>
        <w:sectPr w:rsidR="00BF0184" w:rsidRPr="003542F3" w:rsidSect="001B4283">
          <w:footerReference w:type="default" r:id="rId10"/>
          <w:pgSz w:w="11906" w:h="16838"/>
          <w:pgMar w:top="1417" w:right="1417" w:bottom="1417" w:left="1417" w:header="708" w:footer="708" w:gutter="0"/>
          <w:cols w:space="708"/>
          <w:docGrid w:linePitch="360"/>
        </w:sectPr>
      </w:pPr>
    </w:p>
    <w:p w:rsidR="00282673" w:rsidRDefault="00DC3F6F" w:rsidP="003542F3">
      <w:pPr>
        <w:rPr>
          <w:b/>
        </w:rPr>
      </w:pPr>
      <w:r w:rsidRPr="003542F3">
        <w:rPr>
          <w:b/>
        </w:rPr>
        <w:lastRenderedPageBreak/>
        <w:t>Doelenboom</w:t>
      </w:r>
    </w:p>
    <w:tbl>
      <w:tblPr>
        <w:tblStyle w:val="Tabelraster9"/>
        <w:tblW w:w="0" w:type="auto"/>
        <w:tblLook w:val="04A0" w:firstRow="1" w:lastRow="0" w:firstColumn="1" w:lastColumn="0" w:noHBand="0" w:noVBand="1"/>
      </w:tblPr>
      <w:tblGrid>
        <w:gridCol w:w="1991"/>
        <w:gridCol w:w="2766"/>
        <w:gridCol w:w="5953"/>
        <w:gridCol w:w="3510"/>
      </w:tblGrid>
      <w:tr w:rsidR="00B77ADE" w:rsidRPr="00B77ADE" w:rsidTr="001434D1">
        <w:tc>
          <w:tcPr>
            <w:tcW w:w="4757" w:type="dxa"/>
            <w:gridSpan w:val="2"/>
          </w:tcPr>
          <w:p w:rsidR="00B77ADE" w:rsidRPr="00B77ADE" w:rsidRDefault="00B77ADE" w:rsidP="00B77ADE">
            <w:pPr>
              <w:rPr>
                <w:i/>
              </w:rPr>
            </w:pPr>
            <w:r w:rsidRPr="00B77ADE">
              <w:rPr>
                <w:i/>
              </w:rPr>
              <w:t>Wat willen we bereiken</w:t>
            </w:r>
          </w:p>
        </w:tc>
        <w:tc>
          <w:tcPr>
            <w:tcW w:w="5953" w:type="dxa"/>
          </w:tcPr>
          <w:p w:rsidR="00B77ADE" w:rsidRPr="00B77ADE" w:rsidRDefault="00B77ADE" w:rsidP="00B77ADE">
            <w:pPr>
              <w:rPr>
                <w:i/>
              </w:rPr>
            </w:pPr>
            <w:r w:rsidRPr="00B77ADE">
              <w:rPr>
                <w:i/>
              </w:rPr>
              <w:t>Wat gaan we er voor doen</w:t>
            </w:r>
          </w:p>
        </w:tc>
        <w:tc>
          <w:tcPr>
            <w:tcW w:w="3510" w:type="dxa"/>
            <w:vMerge w:val="restart"/>
          </w:tcPr>
          <w:p w:rsidR="00B77ADE" w:rsidRPr="00B77ADE" w:rsidRDefault="00B77ADE" w:rsidP="00B77ADE">
            <w:pPr>
              <w:rPr>
                <w:i/>
              </w:rPr>
            </w:pPr>
            <w:r w:rsidRPr="00B77ADE">
              <w:rPr>
                <w:i/>
              </w:rPr>
              <w:t>Wat is het beoogd maatschappelijk effect</w:t>
            </w:r>
          </w:p>
        </w:tc>
      </w:tr>
      <w:tr w:rsidR="00B77ADE" w:rsidRPr="00B77ADE" w:rsidTr="001434D1">
        <w:tc>
          <w:tcPr>
            <w:tcW w:w="1991" w:type="dxa"/>
          </w:tcPr>
          <w:p w:rsidR="00B77ADE" w:rsidRPr="00B77ADE" w:rsidRDefault="00B77ADE" w:rsidP="00B77ADE">
            <w:r w:rsidRPr="00B77ADE">
              <w:t>Strategisch doel</w:t>
            </w:r>
          </w:p>
        </w:tc>
        <w:tc>
          <w:tcPr>
            <w:tcW w:w="2766" w:type="dxa"/>
          </w:tcPr>
          <w:p w:rsidR="00B77ADE" w:rsidRPr="00B77ADE" w:rsidRDefault="00B77ADE" w:rsidP="00B77ADE">
            <w:r w:rsidRPr="00B77ADE">
              <w:t>Operationeel doel</w:t>
            </w:r>
          </w:p>
        </w:tc>
        <w:tc>
          <w:tcPr>
            <w:tcW w:w="5953" w:type="dxa"/>
          </w:tcPr>
          <w:p w:rsidR="00B77ADE" w:rsidRPr="00B77ADE" w:rsidRDefault="00B77ADE" w:rsidP="00B77ADE">
            <w:r w:rsidRPr="00B77ADE">
              <w:t>Prestatie 2018-2021</w:t>
            </w:r>
          </w:p>
        </w:tc>
        <w:tc>
          <w:tcPr>
            <w:tcW w:w="3510" w:type="dxa"/>
            <w:vMerge/>
          </w:tcPr>
          <w:p w:rsidR="00B77ADE" w:rsidRPr="00B77ADE" w:rsidRDefault="00B77ADE" w:rsidP="00B77ADE"/>
        </w:tc>
      </w:tr>
      <w:tr w:rsidR="00B77ADE" w:rsidRPr="00B77ADE" w:rsidTr="001434D1">
        <w:tc>
          <w:tcPr>
            <w:tcW w:w="14220" w:type="dxa"/>
            <w:gridSpan w:val="4"/>
            <w:shd w:val="clear" w:color="auto" w:fill="C6D9F1" w:themeFill="text2" w:themeFillTint="33"/>
          </w:tcPr>
          <w:p w:rsidR="00B77ADE" w:rsidRPr="00B77ADE" w:rsidRDefault="00B77ADE" w:rsidP="00B77ADE"/>
        </w:tc>
      </w:tr>
      <w:tr w:rsidR="00B77ADE" w:rsidRPr="00B77ADE" w:rsidTr="001434D1">
        <w:tc>
          <w:tcPr>
            <w:tcW w:w="1991" w:type="dxa"/>
            <w:vMerge w:val="restart"/>
          </w:tcPr>
          <w:p w:rsidR="00B77ADE" w:rsidRPr="00B77ADE" w:rsidRDefault="00B77ADE" w:rsidP="00B77ADE">
            <w:r w:rsidRPr="00B77ADE">
              <w:t xml:space="preserve">Het doelmatig en doeltreffend uitvoeren van wettelijke taken en het bieden van speciale arrangementen voor lokale behoeften t.b.v. de Publieke Gezondheid </w:t>
            </w:r>
          </w:p>
        </w:tc>
        <w:tc>
          <w:tcPr>
            <w:tcW w:w="2766" w:type="dxa"/>
          </w:tcPr>
          <w:p w:rsidR="00B77ADE" w:rsidRPr="00B77ADE" w:rsidRDefault="00B77ADE" w:rsidP="00B77ADE">
            <w:r w:rsidRPr="00B77ADE">
              <w:t>Signaleren en monitoren van infectieziekten en het uitvoeren van preventieve activiteiten om verspreiding van infectieziekten te voorkomen. Indien nodig bestrijden van grote uitbraken / epidemieën (Infectieziekte bestrijding, TBC en SOA/Aids bestrijding)</w:t>
            </w:r>
          </w:p>
        </w:tc>
        <w:tc>
          <w:tcPr>
            <w:tcW w:w="5953" w:type="dxa"/>
          </w:tcPr>
          <w:p w:rsidR="00B77ADE" w:rsidRPr="00B77ADE" w:rsidRDefault="00B77ADE" w:rsidP="00B77ADE">
            <w:pPr>
              <w:numPr>
                <w:ilvl w:val="0"/>
                <w:numId w:val="8"/>
              </w:numPr>
              <w:contextualSpacing/>
            </w:pPr>
            <w:r w:rsidRPr="00B77ADE">
              <w:t>afhandelen van meldingen van infectieziekten (inclusief TBC)</w:t>
            </w:r>
          </w:p>
          <w:p w:rsidR="00B77ADE" w:rsidRPr="00B77ADE" w:rsidRDefault="00B77ADE" w:rsidP="00B77ADE">
            <w:pPr>
              <w:numPr>
                <w:ilvl w:val="0"/>
                <w:numId w:val="8"/>
              </w:numPr>
              <w:contextualSpacing/>
            </w:pPr>
            <w:r w:rsidRPr="00B77ADE">
              <w:t>het houden van spreekuren (soa-poli, reizigersadvisering, TBC)</w:t>
            </w:r>
          </w:p>
          <w:p w:rsidR="00B77ADE" w:rsidRPr="00B77ADE" w:rsidRDefault="00B77ADE" w:rsidP="00B77ADE">
            <w:pPr>
              <w:numPr>
                <w:ilvl w:val="0"/>
                <w:numId w:val="8"/>
              </w:numPr>
              <w:contextualSpacing/>
            </w:pPr>
            <w:r w:rsidRPr="00B77ADE">
              <w:t xml:space="preserve">bronopsporing (oorzaak) en contactonderzoek (patiënten) </w:t>
            </w:r>
          </w:p>
          <w:p w:rsidR="00B77ADE" w:rsidRPr="00B77ADE" w:rsidRDefault="00B77ADE" w:rsidP="00B77ADE">
            <w:pPr>
              <w:numPr>
                <w:ilvl w:val="0"/>
                <w:numId w:val="8"/>
              </w:numPr>
              <w:contextualSpacing/>
            </w:pPr>
            <w:r w:rsidRPr="00B77ADE">
              <w:t xml:space="preserve">geven van voorlichting en advies; </w:t>
            </w:r>
          </w:p>
          <w:p w:rsidR="00B77ADE" w:rsidRPr="00B77ADE" w:rsidRDefault="00B77ADE" w:rsidP="00B77ADE">
            <w:pPr>
              <w:numPr>
                <w:ilvl w:val="0"/>
                <w:numId w:val="8"/>
              </w:numPr>
              <w:contextualSpacing/>
            </w:pPr>
            <w:r w:rsidRPr="00B77ADE">
              <w:t>vaccineren</w:t>
            </w:r>
          </w:p>
          <w:p w:rsidR="00B77ADE" w:rsidRPr="00B77ADE" w:rsidRDefault="00B77ADE" w:rsidP="00B77ADE">
            <w:pPr>
              <w:numPr>
                <w:ilvl w:val="0"/>
                <w:numId w:val="8"/>
              </w:numPr>
              <w:contextualSpacing/>
            </w:pPr>
            <w:r w:rsidRPr="00B77ADE">
              <w:t>preventie activiteiten</w:t>
            </w:r>
          </w:p>
          <w:p w:rsidR="00B77ADE" w:rsidRPr="00B77ADE" w:rsidRDefault="00B77ADE" w:rsidP="00B77ADE">
            <w:pPr>
              <w:numPr>
                <w:ilvl w:val="0"/>
                <w:numId w:val="8"/>
              </w:numPr>
              <w:contextualSpacing/>
            </w:pPr>
            <w:r w:rsidRPr="00B77ADE">
              <w:t>signaleren en surveilleren</w:t>
            </w:r>
          </w:p>
          <w:p w:rsidR="00B77ADE" w:rsidRPr="00B77ADE" w:rsidRDefault="00B77ADE" w:rsidP="00B77ADE">
            <w:pPr>
              <w:numPr>
                <w:ilvl w:val="0"/>
                <w:numId w:val="8"/>
              </w:numPr>
              <w:contextualSpacing/>
            </w:pPr>
            <w:r w:rsidRPr="00B77ADE">
              <w:t>infectieziekten bestrijden bij (grote) ziekte uitbraken</w:t>
            </w:r>
          </w:p>
        </w:tc>
        <w:tc>
          <w:tcPr>
            <w:tcW w:w="3510" w:type="dxa"/>
            <w:vMerge w:val="restart"/>
          </w:tcPr>
          <w:p w:rsidR="00B77ADE" w:rsidRPr="00B77ADE" w:rsidRDefault="00B77ADE" w:rsidP="00B77ADE">
            <w:r w:rsidRPr="00B77ADE">
              <w:t>Gezonde burgers</w:t>
            </w:r>
          </w:p>
          <w:p w:rsidR="00B77ADE" w:rsidRPr="00B77ADE" w:rsidRDefault="00B77ADE" w:rsidP="00B77ADE">
            <w:r w:rsidRPr="00B77ADE">
              <w:t xml:space="preserve">(een bijdrage leveren aan de bescherming en bevordering van de </w:t>
            </w:r>
          </w:p>
          <w:p w:rsidR="00B77ADE" w:rsidRPr="00B77ADE" w:rsidRDefault="00B77ADE" w:rsidP="00B77ADE">
            <w:r w:rsidRPr="00B77ADE">
              <w:t>volksgezondheid)</w:t>
            </w:r>
          </w:p>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 xml:space="preserve">Uitvoeren van toezicht volgens de Wet Kinderopvang </w:t>
            </w:r>
          </w:p>
        </w:tc>
        <w:tc>
          <w:tcPr>
            <w:tcW w:w="5953" w:type="dxa"/>
          </w:tcPr>
          <w:p w:rsidR="00B77ADE" w:rsidRPr="00B77ADE" w:rsidRDefault="00B77ADE" w:rsidP="00B77ADE">
            <w:pPr>
              <w:numPr>
                <w:ilvl w:val="0"/>
                <w:numId w:val="8"/>
              </w:numPr>
              <w:contextualSpacing/>
            </w:pPr>
            <w:r w:rsidRPr="00B77ADE">
              <w:t>inspecteren van kinderdagverblijven, peuterspeelzalen, gastouderbureaus op hygiëne, veiligheid, pedagogisch beleid en omgang met ouders en personeel</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Advies en inspecties technische hygiënezorg om te voorkomen dat infectieziekten uitbreken of zich verspreiden. Dat kan zich richten op het individu of op instellingen of locaties waar sprake is van een verhoogd risico.</w:t>
            </w:r>
          </w:p>
        </w:tc>
        <w:tc>
          <w:tcPr>
            <w:tcW w:w="5953" w:type="dxa"/>
          </w:tcPr>
          <w:p w:rsidR="00B77ADE" w:rsidRPr="00B77ADE" w:rsidRDefault="00B77ADE" w:rsidP="00B77ADE">
            <w:pPr>
              <w:numPr>
                <w:ilvl w:val="0"/>
                <w:numId w:val="8"/>
              </w:numPr>
              <w:contextualSpacing/>
            </w:pPr>
            <w:r w:rsidRPr="00B77ADE">
              <w:t>inspecteren, tattoo/piercingshops, zeeschepen (</w:t>
            </w:r>
            <w:proofErr w:type="spellStart"/>
            <w:r w:rsidRPr="00B77ADE">
              <w:t>ship</w:t>
            </w:r>
            <w:proofErr w:type="spellEnd"/>
            <w:r w:rsidRPr="00B77ADE">
              <w:t xml:space="preserve"> </w:t>
            </w:r>
            <w:proofErr w:type="spellStart"/>
            <w:r w:rsidRPr="00B77ADE">
              <w:t>sanitation</w:t>
            </w:r>
            <w:proofErr w:type="spellEnd"/>
            <w:r w:rsidRPr="00B77ADE">
              <w:t>), zorg- en verpleegtehuizen (zorghygiëne) en coffeeshops (Haarlem)</w:t>
            </w:r>
          </w:p>
          <w:p w:rsidR="00B77ADE" w:rsidRPr="00B77ADE" w:rsidRDefault="00B77ADE" w:rsidP="00B77ADE">
            <w:pPr>
              <w:numPr>
                <w:ilvl w:val="0"/>
                <w:numId w:val="8"/>
              </w:numPr>
              <w:contextualSpacing/>
            </w:pPr>
            <w:r w:rsidRPr="00B77ADE">
              <w:t>Integraal inspecteren van prostitutie bedrijven op hygiëne en veiligheid (i.s.m. politie</w:t>
            </w:r>
          </w:p>
          <w:p w:rsidR="00B77ADE" w:rsidRPr="00B77ADE" w:rsidRDefault="00B77ADE" w:rsidP="00B77ADE">
            <w:pPr>
              <w:numPr>
                <w:ilvl w:val="0"/>
                <w:numId w:val="8"/>
              </w:numPr>
              <w:contextualSpacing/>
            </w:pPr>
            <w:r w:rsidRPr="00B77ADE">
              <w:t>voorlichtingen voedselveiligheid [kinderopvang en zorg- en verpleegtehuizen]</w:t>
            </w:r>
          </w:p>
          <w:p w:rsidR="00B77ADE" w:rsidRPr="00B77ADE" w:rsidRDefault="00B77ADE" w:rsidP="00B77ADE">
            <w:pPr>
              <w:numPr>
                <w:ilvl w:val="0"/>
                <w:numId w:val="8"/>
              </w:numPr>
              <w:contextualSpacing/>
            </w:pPr>
            <w:r w:rsidRPr="00B77ADE">
              <w:t>inspecties en voorlichting over hygiëne op basisscholen</w:t>
            </w:r>
          </w:p>
          <w:p w:rsidR="00B77ADE" w:rsidRPr="00B77ADE" w:rsidRDefault="00B77ADE" w:rsidP="00B77ADE">
            <w:pPr>
              <w:numPr>
                <w:ilvl w:val="0"/>
                <w:numId w:val="8"/>
              </w:numPr>
              <w:contextualSpacing/>
            </w:pPr>
            <w:r w:rsidRPr="00B77ADE">
              <w:t>inspecteren van (tijdelijke) huisvesting vluchtelingen, statushouders, daklozen</w:t>
            </w:r>
          </w:p>
          <w:p w:rsidR="00B77ADE" w:rsidRPr="00B77ADE" w:rsidRDefault="00B77ADE" w:rsidP="00B77ADE">
            <w:pPr>
              <w:numPr>
                <w:ilvl w:val="0"/>
                <w:numId w:val="8"/>
              </w:numPr>
              <w:contextualSpacing/>
            </w:pPr>
            <w:r w:rsidRPr="00B77ADE">
              <w:t>adviseren bij evenementen</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 xml:space="preserve">Adviseren van burgers en bedrijven om in het geval </w:t>
            </w:r>
            <w:r w:rsidRPr="00B77ADE">
              <w:lastRenderedPageBreak/>
              <w:t>van contact met schadelijke stoffen, de gevolgen hiervan te beperken.</w:t>
            </w:r>
          </w:p>
          <w:p w:rsidR="00B77ADE" w:rsidRPr="00B77ADE" w:rsidRDefault="00B77ADE" w:rsidP="00B77ADE">
            <w:r w:rsidRPr="00B77ADE">
              <w:t xml:space="preserve">(Medische Milieukunde) </w:t>
            </w:r>
          </w:p>
          <w:p w:rsidR="00B77ADE" w:rsidRPr="00B77ADE" w:rsidRDefault="00B77ADE" w:rsidP="00B77ADE"/>
          <w:p w:rsidR="00B77ADE" w:rsidRPr="00B77ADE" w:rsidRDefault="00B77ADE" w:rsidP="00B77ADE"/>
          <w:p w:rsidR="00B77ADE" w:rsidRPr="00B77ADE" w:rsidRDefault="00B77ADE" w:rsidP="00B77ADE"/>
          <w:p w:rsidR="00B77ADE" w:rsidRPr="00B77ADE" w:rsidRDefault="00B77ADE" w:rsidP="00B77ADE"/>
        </w:tc>
        <w:tc>
          <w:tcPr>
            <w:tcW w:w="5953" w:type="dxa"/>
          </w:tcPr>
          <w:p w:rsidR="00B77ADE" w:rsidRPr="00B77ADE" w:rsidRDefault="00B77ADE" w:rsidP="00B77ADE">
            <w:pPr>
              <w:numPr>
                <w:ilvl w:val="0"/>
                <w:numId w:val="8"/>
              </w:numPr>
              <w:contextualSpacing/>
            </w:pPr>
            <w:r w:rsidRPr="00B77ADE">
              <w:lastRenderedPageBreak/>
              <w:t>signaleren van voor gezondheid ongewenste situaties in de leefomgeving</w:t>
            </w:r>
          </w:p>
          <w:p w:rsidR="00B77ADE" w:rsidRPr="00B77ADE" w:rsidRDefault="00B77ADE" w:rsidP="00B77ADE">
            <w:pPr>
              <w:numPr>
                <w:ilvl w:val="0"/>
                <w:numId w:val="8"/>
              </w:numPr>
              <w:contextualSpacing/>
            </w:pPr>
            <w:r w:rsidRPr="00B77ADE">
              <w:lastRenderedPageBreak/>
              <w:t>(pro)actief adviseren van burgers, gemeenten en instellingen over risico’s</w:t>
            </w:r>
          </w:p>
          <w:p w:rsidR="00B77ADE" w:rsidRPr="00B77ADE" w:rsidRDefault="00B77ADE" w:rsidP="00B77ADE">
            <w:pPr>
              <w:numPr>
                <w:ilvl w:val="0"/>
                <w:numId w:val="8"/>
              </w:numPr>
              <w:contextualSpacing/>
            </w:pPr>
            <w:r w:rsidRPr="00B77ADE">
              <w:t>beantwoorden van vragen van burgers, gemeenten en instellingen en geven van voorlichting</w:t>
            </w:r>
          </w:p>
          <w:p w:rsidR="00B77ADE" w:rsidRPr="00B77ADE" w:rsidRDefault="00B77ADE" w:rsidP="00B77ADE">
            <w:pPr>
              <w:numPr>
                <w:ilvl w:val="0"/>
                <w:numId w:val="8"/>
              </w:numPr>
              <w:contextualSpacing/>
            </w:pPr>
            <w:r w:rsidRPr="00B77ADE">
              <w:t>uitvoeren projecten en onderzoek</w:t>
            </w:r>
          </w:p>
          <w:p w:rsidR="00B77ADE" w:rsidRPr="00B77ADE" w:rsidRDefault="00B77ADE" w:rsidP="00B77ADE">
            <w:pPr>
              <w:numPr>
                <w:ilvl w:val="0"/>
                <w:numId w:val="8"/>
              </w:numPr>
              <w:contextualSpacing/>
            </w:pPr>
            <w:r w:rsidRPr="00B77ADE">
              <w:t xml:space="preserve">in crisissituaties en bij blootstelling aan schadelijke stoffen burgers informeren over risico’s, mogelijke gevolgen en te nemen maatregelen </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Signaleren en monitoren van de gezondheid van de inwoners van Kennemerland</w:t>
            </w:r>
          </w:p>
          <w:p w:rsidR="00B77ADE" w:rsidRPr="00B77ADE" w:rsidRDefault="00B77ADE" w:rsidP="00B77ADE">
            <w:r w:rsidRPr="00B77ADE">
              <w:t>(Epidemiologie)</w:t>
            </w:r>
          </w:p>
          <w:p w:rsidR="00B77ADE" w:rsidRPr="00B77ADE" w:rsidRDefault="00B77ADE" w:rsidP="00B77ADE"/>
        </w:tc>
        <w:tc>
          <w:tcPr>
            <w:tcW w:w="5953" w:type="dxa"/>
          </w:tcPr>
          <w:p w:rsidR="00B77ADE" w:rsidRPr="00B77ADE" w:rsidRDefault="00B77ADE" w:rsidP="00B77ADE">
            <w:pPr>
              <w:numPr>
                <w:ilvl w:val="0"/>
                <w:numId w:val="9"/>
              </w:numPr>
              <w:contextualSpacing/>
            </w:pPr>
            <w:r w:rsidRPr="00B77ADE">
              <w:t xml:space="preserve">uitvoeren gezondheidsenquêtes, opstellen gezondheidsprofielen, analyseren van de gezondheidssituatie van de bewoners in Kennemerland en gemeenten ondersteunen met verdiepend onderzoek. </w:t>
            </w:r>
          </w:p>
          <w:p w:rsidR="00B77ADE" w:rsidRPr="00B77ADE" w:rsidRDefault="00B77ADE" w:rsidP="00B77ADE">
            <w:pPr>
              <w:numPr>
                <w:ilvl w:val="0"/>
                <w:numId w:val="9"/>
              </w:numPr>
              <w:contextualSpacing/>
            </w:pPr>
            <w:r w:rsidRPr="00B77ADE">
              <w:t>signaleren van regionale en landelijke ontwikkelingen, in kaart brengen van problemen op het gebied van volksgezondheid en het doen van aanbevelingen aan beleidsmakers</w:t>
            </w:r>
          </w:p>
          <w:p w:rsidR="00B77ADE" w:rsidRPr="00B77ADE" w:rsidRDefault="00B77ADE" w:rsidP="00B77ADE">
            <w:pPr>
              <w:numPr>
                <w:ilvl w:val="0"/>
                <w:numId w:val="9"/>
              </w:numPr>
              <w:contextualSpacing/>
            </w:pPr>
            <w:r w:rsidRPr="00B77ADE">
              <w:t>duiding geven aan actuele kennis en informatie</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Ondersteunen van gemeenten en regionale/lokale ketenpartners bij het bevorderen en behouden van de gezondheid van de gehele bevolking in de regio. Specifiek is aandacht voor risicogroepen zoals jongeren, volwassenen met een lage sociaal economische status en ouderen (advisering publieke gezondheid)</w:t>
            </w:r>
          </w:p>
        </w:tc>
        <w:tc>
          <w:tcPr>
            <w:tcW w:w="5953" w:type="dxa"/>
          </w:tcPr>
          <w:p w:rsidR="00B77ADE" w:rsidRPr="00B77ADE" w:rsidRDefault="00B77ADE" w:rsidP="00B77ADE">
            <w:pPr>
              <w:numPr>
                <w:ilvl w:val="0"/>
                <w:numId w:val="8"/>
              </w:numPr>
              <w:contextualSpacing/>
            </w:pPr>
            <w:r w:rsidRPr="00B77ADE">
              <w:t>adviseren gemeenten over lokaal beleid (op basis van gezondheidsnota)</w:t>
            </w:r>
          </w:p>
          <w:p w:rsidR="00B77ADE" w:rsidRPr="00B77ADE" w:rsidRDefault="00B77ADE" w:rsidP="00B77ADE">
            <w:pPr>
              <w:numPr>
                <w:ilvl w:val="0"/>
                <w:numId w:val="8"/>
              </w:numPr>
              <w:contextualSpacing/>
            </w:pPr>
            <w:r w:rsidRPr="00B77ADE">
              <w:t>op inhoud adviseren van gemeenten en ketenpartners over uitvoeren van gezondheidsbeleid</w:t>
            </w:r>
          </w:p>
          <w:p w:rsidR="00B77ADE" w:rsidRPr="00B77ADE" w:rsidRDefault="00B77ADE" w:rsidP="00B77ADE">
            <w:pPr>
              <w:numPr>
                <w:ilvl w:val="0"/>
                <w:numId w:val="8"/>
              </w:numPr>
              <w:contextualSpacing/>
            </w:pPr>
            <w:r w:rsidRPr="00B77ADE">
              <w:t>signaleren en herkennen van kansrijke onderwerpen en netwerken met een positief effect op de gezondheid en betrokken partijen hiertoe met elkaar in verbinding brengen</w:t>
            </w:r>
          </w:p>
          <w:p w:rsidR="00B77ADE" w:rsidRPr="00B77ADE" w:rsidRDefault="00B77ADE" w:rsidP="00B77ADE">
            <w:pPr>
              <w:numPr>
                <w:ilvl w:val="0"/>
                <w:numId w:val="8"/>
              </w:numPr>
              <w:contextualSpacing/>
            </w:pPr>
            <w:r w:rsidRPr="00B77ADE">
              <w:t xml:space="preserve">eerste aanspreekpunt preventieve gezondheidszorg </w:t>
            </w:r>
          </w:p>
          <w:p w:rsidR="00B77ADE" w:rsidRPr="00B77ADE" w:rsidRDefault="00B77ADE" w:rsidP="00B77ADE">
            <w:pPr>
              <w:numPr>
                <w:ilvl w:val="0"/>
                <w:numId w:val="8"/>
              </w:numPr>
              <w:contextualSpacing/>
            </w:pPr>
            <w:r w:rsidRPr="00B77ADE">
              <w:t>opstellen regionaal beleid (regionale Nota Volksgezondheid)</w:t>
            </w:r>
          </w:p>
          <w:p w:rsidR="00B77ADE" w:rsidRPr="00B77ADE" w:rsidRDefault="00B77ADE" w:rsidP="00B77ADE">
            <w:pPr>
              <w:numPr>
                <w:ilvl w:val="0"/>
                <w:numId w:val="8"/>
              </w:numPr>
              <w:contextualSpacing/>
            </w:pPr>
            <w:r w:rsidRPr="00B77ADE">
              <w:t>beleidsondersteuning van wettelijke taken van de GGD</w:t>
            </w:r>
          </w:p>
          <w:p w:rsidR="00B77ADE" w:rsidRPr="00B77ADE" w:rsidRDefault="00B77ADE" w:rsidP="00B77ADE">
            <w:pPr>
              <w:numPr>
                <w:ilvl w:val="0"/>
                <w:numId w:val="8"/>
              </w:numPr>
              <w:contextualSpacing/>
            </w:pPr>
            <w:r w:rsidRPr="00B77ADE">
              <w:t xml:space="preserve">coördineren netwerken / dienstverlening rondom statushouders </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 xml:space="preserve">Voorkomen en verminderen </w:t>
            </w:r>
            <w:r w:rsidRPr="00B77ADE">
              <w:lastRenderedPageBreak/>
              <w:t>van uitsluiting en dakloosheid; realiseren van een aanvaardbare kwaliteit van leven voor kwetsbare mensen die vaak meervoudige problemen hebben (OGGZ)</w:t>
            </w:r>
          </w:p>
        </w:tc>
        <w:tc>
          <w:tcPr>
            <w:tcW w:w="5953" w:type="dxa"/>
          </w:tcPr>
          <w:p w:rsidR="00B77ADE" w:rsidRPr="00B77ADE" w:rsidRDefault="00B77ADE" w:rsidP="00B77ADE">
            <w:pPr>
              <w:numPr>
                <w:ilvl w:val="0"/>
                <w:numId w:val="8"/>
              </w:numPr>
              <w:contextualSpacing/>
            </w:pPr>
            <w:r w:rsidRPr="00B77ADE">
              <w:lastRenderedPageBreak/>
              <w:t xml:space="preserve">aannemen en registreren cliënten en type OGGZ </w:t>
            </w:r>
            <w:r w:rsidRPr="00B77ADE">
              <w:lastRenderedPageBreak/>
              <w:t>problematiek (via Meldpunt Zorg &amp; Overlast en Brede Centrale Toegang)</w:t>
            </w:r>
          </w:p>
          <w:p w:rsidR="00B77ADE" w:rsidRPr="00B77ADE" w:rsidRDefault="00B77ADE" w:rsidP="00B77ADE">
            <w:pPr>
              <w:numPr>
                <w:ilvl w:val="0"/>
                <w:numId w:val="8"/>
              </w:numPr>
              <w:contextualSpacing/>
            </w:pPr>
            <w:r w:rsidRPr="00B77ADE">
              <w:t>beoordelen van de gezondheids-, zorg- en overlastsituatie (of initiëren Maatschappelijke Opvang)</w:t>
            </w:r>
          </w:p>
          <w:p w:rsidR="00B77ADE" w:rsidRPr="00B77ADE" w:rsidRDefault="00B77ADE" w:rsidP="00B77ADE">
            <w:pPr>
              <w:numPr>
                <w:ilvl w:val="0"/>
                <w:numId w:val="8"/>
              </w:numPr>
              <w:contextualSpacing/>
            </w:pPr>
            <w:r w:rsidRPr="00B77ADE">
              <w:t xml:space="preserve">opstellen en uitvoeren Trajectplan om teloorgang /overlast te stoppen </w:t>
            </w:r>
          </w:p>
          <w:p w:rsidR="00B77ADE" w:rsidRPr="00B77ADE" w:rsidRDefault="00B77ADE" w:rsidP="00B77ADE">
            <w:pPr>
              <w:numPr>
                <w:ilvl w:val="0"/>
                <w:numId w:val="8"/>
              </w:numPr>
              <w:contextualSpacing/>
            </w:pPr>
            <w:r w:rsidRPr="00B77ADE">
              <w:t xml:space="preserve">bieden van bemoeizorg aan zorgwekkende </w:t>
            </w:r>
            <w:proofErr w:type="spellStart"/>
            <w:r w:rsidRPr="00B77ADE">
              <w:t>zorgmijders</w:t>
            </w:r>
            <w:proofErr w:type="spellEnd"/>
          </w:p>
          <w:p w:rsidR="00B77ADE" w:rsidRPr="00B77ADE" w:rsidRDefault="00B77ADE" w:rsidP="00B77ADE">
            <w:pPr>
              <w:numPr>
                <w:ilvl w:val="0"/>
                <w:numId w:val="8"/>
              </w:numPr>
              <w:contextualSpacing/>
            </w:pPr>
            <w:proofErr w:type="spellStart"/>
            <w:r w:rsidRPr="00B77ADE">
              <w:t>toeleiden</w:t>
            </w:r>
            <w:proofErr w:type="spellEnd"/>
            <w:r w:rsidRPr="00B77ADE">
              <w:t xml:space="preserve"> en doorverwijzen naar reguliere zorg</w:t>
            </w:r>
          </w:p>
          <w:p w:rsidR="00B77ADE" w:rsidRPr="00B77ADE" w:rsidRDefault="00B77ADE" w:rsidP="00B77ADE">
            <w:pPr>
              <w:numPr>
                <w:ilvl w:val="0"/>
                <w:numId w:val="8"/>
              </w:numPr>
              <w:contextualSpacing/>
            </w:pPr>
            <w:r w:rsidRPr="00B77ADE">
              <w:t>bieden van nazorg (monitoren van overdracht)</w:t>
            </w:r>
          </w:p>
          <w:p w:rsidR="00B77ADE" w:rsidRPr="00B77ADE" w:rsidRDefault="00B77ADE" w:rsidP="00B77ADE">
            <w:pPr>
              <w:numPr>
                <w:ilvl w:val="0"/>
                <w:numId w:val="8"/>
              </w:numPr>
              <w:contextualSpacing/>
            </w:pPr>
            <w:r w:rsidRPr="00B77ADE">
              <w:t>overleggen/afstemmen met ketenpartners en sociale wijkteams/</w:t>
            </w:r>
            <w:proofErr w:type="spellStart"/>
            <w:r w:rsidRPr="00B77ADE">
              <w:t>Meerteams</w:t>
            </w:r>
            <w:proofErr w:type="spellEnd"/>
          </w:p>
          <w:p w:rsidR="00B77ADE" w:rsidRPr="00B77ADE" w:rsidRDefault="00B77ADE" w:rsidP="00B77ADE">
            <w:pPr>
              <w:numPr>
                <w:ilvl w:val="0"/>
                <w:numId w:val="8"/>
              </w:numPr>
              <w:contextualSpacing/>
            </w:pPr>
            <w:r w:rsidRPr="00B77ADE">
              <w:t xml:space="preserve">bijdrage leveren aan de vroegsignalering van verwarde personen door coördinatie van </w:t>
            </w:r>
            <w:proofErr w:type="spellStart"/>
            <w:r w:rsidRPr="00B77ADE">
              <w:t>Vroegsignaleringsoverleg</w:t>
            </w:r>
            <w:proofErr w:type="spellEnd"/>
            <w:r w:rsidRPr="00B77ADE">
              <w:t xml:space="preserve"> (VSO) Kennemerland</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 xml:space="preserve">Preventief en actief stoppen van bedreigingen van de volksgezondheid en/of overlast in de directe leefomgeving van mensen (Hygiënisch Woningtoezicht) </w:t>
            </w:r>
          </w:p>
        </w:tc>
        <w:tc>
          <w:tcPr>
            <w:tcW w:w="5953" w:type="dxa"/>
          </w:tcPr>
          <w:p w:rsidR="00B77ADE" w:rsidRPr="00B77ADE" w:rsidRDefault="00B77ADE" w:rsidP="00B77ADE">
            <w:pPr>
              <w:numPr>
                <w:ilvl w:val="0"/>
                <w:numId w:val="8"/>
              </w:numPr>
              <w:contextualSpacing/>
            </w:pPr>
            <w:r w:rsidRPr="00B77ADE">
              <w:t xml:space="preserve">uitvoeren Hygiënisch Woningtoezicht bij zwaar vervuilde woningen; vervuiling en overlast beëindigen en de bewoner(s) stimuleren deze problemen in de toekomst te voorkomen </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Voorkomen en beperken van gezondheidsschade van burgers als gevolg van crises, rampen en zware ongevallen (Psychosociale Hulpverlening)</w:t>
            </w:r>
          </w:p>
        </w:tc>
        <w:tc>
          <w:tcPr>
            <w:tcW w:w="5953" w:type="dxa"/>
          </w:tcPr>
          <w:p w:rsidR="00B77ADE" w:rsidRPr="00B77ADE" w:rsidRDefault="00B77ADE" w:rsidP="00B77ADE">
            <w:pPr>
              <w:numPr>
                <w:ilvl w:val="0"/>
                <w:numId w:val="8"/>
              </w:numPr>
              <w:contextualSpacing/>
            </w:pPr>
            <w:r w:rsidRPr="00B77ADE">
              <w:t>inzetten Psychosociale Hulpverlening, zowel in GRIP-opgeschaalde situaties als bij situaties met grote maatschappelijke onrust zonder GRIP-opschaling</w:t>
            </w:r>
          </w:p>
          <w:p w:rsidR="00B77ADE" w:rsidRPr="00B77ADE" w:rsidRDefault="00B77ADE" w:rsidP="00B77ADE">
            <w:pPr>
              <w:numPr>
                <w:ilvl w:val="0"/>
                <w:numId w:val="8"/>
              </w:numPr>
              <w:contextualSpacing/>
            </w:pPr>
            <w:r w:rsidRPr="00B77ADE">
              <w:t>vakbekwaam houden van team psychosociale hulpverleners (door opleiding, training en oefening in samenwerking met GHOR)</w:t>
            </w:r>
          </w:p>
          <w:p w:rsidR="00B77ADE" w:rsidRPr="00B77ADE" w:rsidRDefault="00B77ADE" w:rsidP="00B77ADE">
            <w:pPr>
              <w:numPr>
                <w:ilvl w:val="0"/>
                <w:numId w:val="8"/>
              </w:numPr>
              <w:contextualSpacing/>
            </w:pPr>
            <w:r w:rsidRPr="00B77ADE">
              <w:t>procedures crisisorganisatie op orde brengen c.q. houden (planvorming, multidisciplinaire afstemming, bewaken van afspraken met ketenpartners)</w:t>
            </w: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 xml:space="preserve">Uitvoeren forensische geneeskunde voor politie en </w:t>
            </w:r>
            <w:r w:rsidRPr="00B77ADE">
              <w:lastRenderedPageBreak/>
              <w:t>gemeenten (Forensische geneeskunde)</w:t>
            </w:r>
          </w:p>
        </w:tc>
        <w:tc>
          <w:tcPr>
            <w:tcW w:w="5953" w:type="dxa"/>
          </w:tcPr>
          <w:p w:rsidR="00B77ADE" w:rsidRPr="00B77ADE" w:rsidRDefault="00B77ADE" w:rsidP="00B77ADE">
            <w:pPr>
              <w:numPr>
                <w:ilvl w:val="0"/>
                <w:numId w:val="8"/>
              </w:numPr>
              <w:contextualSpacing/>
            </w:pPr>
            <w:r w:rsidRPr="00B77ADE">
              <w:lastRenderedPageBreak/>
              <w:t xml:space="preserve">arrestantenzorg; het bieden van expertise op het gebied van huisartsenzorg, verslavingszorg, infectieziekten en </w:t>
            </w:r>
            <w:r w:rsidRPr="00B77ADE">
              <w:lastRenderedPageBreak/>
              <w:t xml:space="preserve">psychiatrie </w:t>
            </w:r>
          </w:p>
          <w:p w:rsidR="00B77ADE" w:rsidRPr="00B77ADE" w:rsidRDefault="00B77ADE" w:rsidP="00B77ADE">
            <w:pPr>
              <w:numPr>
                <w:ilvl w:val="0"/>
                <w:numId w:val="8"/>
              </w:numPr>
              <w:contextualSpacing/>
            </w:pPr>
            <w:r w:rsidRPr="00B77ADE">
              <w:t>(medische) adviseren van de politie; het bepalen van geschiktheid voor verhoor en detentie, alsook het inschatten van verblijfsrisico’s</w:t>
            </w:r>
          </w:p>
          <w:p w:rsidR="00B77ADE" w:rsidRPr="00B77ADE" w:rsidRDefault="00B77ADE" w:rsidP="00B77ADE">
            <w:pPr>
              <w:numPr>
                <w:ilvl w:val="0"/>
                <w:numId w:val="8"/>
              </w:numPr>
              <w:contextualSpacing/>
            </w:pPr>
            <w:r w:rsidRPr="00B77ADE">
              <w:t>forensisch onderzoek; zedenonderzoek, letselrapportage, het opvragen en interpreteren van medische informatie voor het politiedossier, bloedafname bij alcohol en/of drugs, DNA en urine-afname, postmortaal onderzoek en bloedonderzoek bij verdenking van infectieziekten</w:t>
            </w:r>
          </w:p>
          <w:p w:rsidR="00B77ADE" w:rsidRPr="00B77ADE" w:rsidRDefault="00B77ADE" w:rsidP="00B77ADE">
            <w:pPr>
              <w:numPr>
                <w:ilvl w:val="0"/>
                <w:numId w:val="8"/>
              </w:numPr>
              <w:contextualSpacing/>
            </w:pPr>
            <w:r w:rsidRPr="00B77ADE">
              <w:t>lijkschouw; bij natuurlijk en niet-natuurlijk overlijden en in geval van euthanasie, bemiddeling bij niet-natuurlijke dood en orgaan/weefseldonatie</w:t>
            </w:r>
          </w:p>
        </w:tc>
        <w:tc>
          <w:tcPr>
            <w:tcW w:w="3510" w:type="dxa"/>
            <w:vMerge/>
          </w:tcPr>
          <w:p w:rsidR="00B77ADE" w:rsidRPr="00B77ADE" w:rsidRDefault="00B77ADE" w:rsidP="00B77ADE"/>
        </w:tc>
      </w:tr>
      <w:tr w:rsidR="00B77ADE" w:rsidRPr="00B77ADE" w:rsidTr="001434D1">
        <w:tc>
          <w:tcPr>
            <w:tcW w:w="1991" w:type="dxa"/>
          </w:tcPr>
          <w:p w:rsidR="00B77ADE" w:rsidRPr="00B77ADE" w:rsidRDefault="00B77ADE" w:rsidP="00B77ADE"/>
        </w:tc>
        <w:tc>
          <w:tcPr>
            <w:tcW w:w="2766" w:type="dxa"/>
          </w:tcPr>
          <w:p w:rsidR="00B77ADE" w:rsidRPr="00B77ADE" w:rsidRDefault="00B77ADE" w:rsidP="00B77ADE">
            <w:r w:rsidRPr="00B77ADE">
              <w:t>Versterking van de samenwerking met partners en versterken van de netwerkpositie van de GGD</w:t>
            </w:r>
          </w:p>
        </w:tc>
        <w:tc>
          <w:tcPr>
            <w:tcW w:w="5953" w:type="dxa"/>
          </w:tcPr>
          <w:p w:rsidR="00B77ADE" w:rsidRPr="00B77ADE" w:rsidRDefault="00B77ADE" w:rsidP="00B77ADE">
            <w:pPr>
              <w:numPr>
                <w:ilvl w:val="0"/>
                <w:numId w:val="8"/>
              </w:numPr>
              <w:contextualSpacing/>
            </w:pPr>
            <w:r w:rsidRPr="00B77ADE">
              <w:t>Uitbreiden en intensiveren van relaties en samenwerking tussen medewerkers en ketenpartners</w:t>
            </w:r>
          </w:p>
        </w:tc>
        <w:tc>
          <w:tcPr>
            <w:tcW w:w="3510" w:type="dxa"/>
          </w:tcPr>
          <w:p w:rsidR="00B77ADE" w:rsidRPr="00B77ADE" w:rsidRDefault="00B77ADE" w:rsidP="00B77ADE"/>
        </w:tc>
      </w:tr>
      <w:tr w:rsidR="00B77ADE" w:rsidRPr="00B77ADE" w:rsidTr="001434D1">
        <w:tc>
          <w:tcPr>
            <w:tcW w:w="14220" w:type="dxa"/>
            <w:gridSpan w:val="4"/>
            <w:shd w:val="clear" w:color="auto" w:fill="C6D9F1" w:themeFill="text2" w:themeFillTint="33"/>
          </w:tcPr>
          <w:p w:rsidR="00B77ADE" w:rsidRPr="00B77ADE" w:rsidRDefault="00B77ADE" w:rsidP="00B77ADE"/>
        </w:tc>
      </w:tr>
      <w:tr w:rsidR="00B77ADE" w:rsidRPr="00B77ADE" w:rsidTr="001434D1">
        <w:tc>
          <w:tcPr>
            <w:tcW w:w="1991" w:type="dxa"/>
          </w:tcPr>
          <w:p w:rsidR="00B77ADE" w:rsidRPr="00B77ADE" w:rsidRDefault="00B77ADE" w:rsidP="00B77ADE">
            <w:r w:rsidRPr="00B77ADE">
              <w:t>Het handhaven en bouwen aan het vertrouwen in de samenleving dat adequaat wordt gehandeld in het geval dat risico’s zich aandienen ten aanzien van de Publieke Gezondheid.</w:t>
            </w:r>
          </w:p>
          <w:p w:rsidR="00B77ADE" w:rsidRPr="00B77ADE" w:rsidRDefault="00B77ADE" w:rsidP="00B77ADE">
            <w:r w:rsidRPr="00B77ADE">
              <w:t xml:space="preserve"> </w:t>
            </w:r>
          </w:p>
        </w:tc>
        <w:tc>
          <w:tcPr>
            <w:tcW w:w="2766" w:type="dxa"/>
          </w:tcPr>
          <w:p w:rsidR="00B77ADE" w:rsidRPr="00B77ADE" w:rsidRDefault="00B77ADE" w:rsidP="00B77ADE">
            <w:r w:rsidRPr="00B77ADE">
              <w:t>Het permanent op peil houden van inzetcapaciteit bij calamiteiten en crises</w:t>
            </w:r>
          </w:p>
          <w:p w:rsidR="00B77ADE" w:rsidRPr="00B77ADE" w:rsidRDefault="00B77ADE" w:rsidP="00B77ADE"/>
          <w:p w:rsidR="00B77ADE" w:rsidRPr="00B77ADE" w:rsidRDefault="00B77ADE" w:rsidP="00B77ADE"/>
          <w:p w:rsidR="00B77ADE" w:rsidRPr="00B77ADE" w:rsidRDefault="00B77ADE" w:rsidP="00B77ADE"/>
        </w:tc>
        <w:tc>
          <w:tcPr>
            <w:tcW w:w="5953" w:type="dxa"/>
          </w:tcPr>
          <w:p w:rsidR="00B77ADE" w:rsidRPr="00B77ADE" w:rsidRDefault="00B77ADE" w:rsidP="00B77ADE">
            <w:pPr>
              <w:numPr>
                <w:ilvl w:val="0"/>
                <w:numId w:val="10"/>
              </w:numPr>
              <w:contextualSpacing/>
            </w:pPr>
            <w:r w:rsidRPr="00B77ADE">
              <w:t>bieden van reizigersadvisering en -vaccinatie (waarmee kennis en vaardigheden voor opgeschaalde zorg beschikbaar is)</w:t>
            </w:r>
          </w:p>
          <w:p w:rsidR="00B77ADE" w:rsidRPr="00B77ADE" w:rsidRDefault="00B77ADE" w:rsidP="00B77ADE">
            <w:pPr>
              <w:numPr>
                <w:ilvl w:val="0"/>
                <w:numId w:val="10"/>
              </w:numPr>
              <w:contextualSpacing/>
            </w:pPr>
            <w:r w:rsidRPr="00B77ADE">
              <w:t xml:space="preserve">aanbieden van EHBO-, Bedrijfshulpverlening-, reanimatie- en AED-cursussen </w:t>
            </w:r>
          </w:p>
          <w:p w:rsidR="00B77ADE" w:rsidRPr="00B77ADE" w:rsidRDefault="00B77ADE" w:rsidP="00B77ADE">
            <w:pPr>
              <w:ind w:left="360"/>
              <w:contextualSpacing/>
            </w:pPr>
          </w:p>
          <w:p w:rsidR="00B77ADE" w:rsidRPr="00B77ADE" w:rsidRDefault="00B77ADE" w:rsidP="00B77ADE">
            <w:r w:rsidRPr="00B77ADE">
              <w:t xml:space="preserve"> </w:t>
            </w:r>
          </w:p>
        </w:tc>
        <w:tc>
          <w:tcPr>
            <w:tcW w:w="3510" w:type="dxa"/>
          </w:tcPr>
          <w:p w:rsidR="00B77ADE" w:rsidRPr="00B77ADE" w:rsidRDefault="00B77ADE" w:rsidP="00B77ADE">
            <w:r w:rsidRPr="00B77ADE">
              <w:t>Effectieve en snelle(re)actie bij calamiteiten</w:t>
            </w:r>
          </w:p>
        </w:tc>
      </w:tr>
      <w:tr w:rsidR="00B77ADE" w:rsidRPr="00B77ADE" w:rsidTr="001434D1">
        <w:tc>
          <w:tcPr>
            <w:tcW w:w="14220" w:type="dxa"/>
            <w:gridSpan w:val="4"/>
            <w:shd w:val="clear" w:color="auto" w:fill="C6D9F1" w:themeFill="text2" w:themeFillTint="33"/>
          </w:tcPr>
          <w:p w:rsidR="00B77ADE" w:rsidRPr="00B77ADE" w:rsidRDefault="00B77ADE" w:rsidP="00B77ADE"/>
        </w:tc>
      </w:tr>
      <w:tr w:rsidR="00B77ADE" w:rsidRPr="00B77ADE" w:rsidTr="001434D1">
        <w:tc>
          <w:tcPr>
            <w:tcW w:w="1991" w:type="dxa"/>
            <w:vMerge w:val="restart"/>
          </w:tcPr>
          <w:p w:rsidR="00B77ADE" w:rsidRPr="00B77ADE" w:rsidRDefault="00B77ADE" w:rsidP="00B77ADE">
            <w:r w:rsidRPr="00B77ADE">
              <w:t xml:space="preserve">Behouden en verstevigen van de </w:t>
            </w:r>
            <w:r w:rsidRPr="00B77ADE">
              <w:lastRenderedPageBreak/>
              <w:t>unieke kennis-positie op het gebied van Publieke Gezondheid en Veiligheid</w:t>
            </w:r>
          </w:p>
          <w:p w:rsidR="00B77ADE" w:rsidRPr="00B77ADE" w:rsidRDefault="00B77ADE" w:rsidP="00B77ADE"/>
          <w:p w:rsidR="00B77ADE" w:rsidRPr="00B77ADE" w:rsidRDefault="00B77ADE" w:rsidP="00B77ADE"/>
          <w:p w:rsidR="00B77ADE" w:rsidRPr="00B77ADE" w:rsidRDefault="00B77ADE" w:rsidP="00B77ADE"/>
          <w:p w:rsidR="00B77ADE" w:rsidRPr="00B77ADE" w:rsidRDefault="00B77ADE" w:rsidP="00B77ADE"/>
          <w:p w:rsidR="00B77ADE" w:rsidRPr="00B77ADE" w:rsidRDefault="00B77ADE" w:rsidP="00B77ADE"/>
        </w:tc>
        <w:tc>
          <w:tcPr>
            <w:tcW w:w="2766" w:type="dxa"/>
          </w:tcPr>
          <w:p w:rsidR="00B77ADE" w:rsidRPr="00B77ADE" w:rsidRDefault="00B77ADE" w:rsidP="00B77ADE">
            <w:r w:rsidRPr="00B77ADE">
              <w:lastRenderedPageBreak/>
              <w:t xml:space="preserve">Anticiperen op behoeften van klanten en partners op </w:t>
            </w:r>
            <w:r w:rsidRPr="00B77ADE">
              <w:lastRenderedPageBreak/>
              <w:t>het gebied van Publieke Gezondheid en Veiligheid</w:t>
            </w:r>
          </w:p>
        </w:tc>
        <w:tc>
          <w:tcPr>
            <w:tcW w:w="5953" w:type="dxa"/>
          </w:tcPr>
          <w:p w:rsidR="00B77ADE" w:rsidRPr="00B77ADE" w:rsidRDefault="00B77ADE" w:rsidP="00B77ADE">
            <w:pPr>
              <w:numPr>
                <w:ilvl w:val="0"/>
                <w:numId w:val="12"/>
              </w:numPr>
              <w:contextualSpacing/>
            </w:pPr>
            <w:r w:rsidRPr="00B77ADE">
              <w:lastRenderedPageBreak/>
              <w:t xml:space="preserve">GGD reageert op vragen vanuit de gemeenten, maar adviseert ook proactief </w:t>
            </w:r>
          </w:p>
          <w:p w:rsidR="00B77ADE" w:rsidRPr="00B77ADE" w:rsidRDefault="00B77ADE" w:rsidP="00B77ADE">
            <w:pPr>
              <w:numPr>
                <w:ilvl w:val="0"/>
                <w:numId w:val="12"/>
              </w:numPr>
              <w:contextualSpacing/>
            </w:pPr>
            <w:r w:rsidRPr="00B77ADE">
              <w:lastRenderedPageBreak/>
              <w:t xml:space="preserve">toezicht houden op de WMO (= Wet Maatschappelijke Ondersteuning) op verzoek van gemeenten </w:t>
            </w:r>
          </w:p>
          <w:p w:rsidR="00B77ADE" w:rsidRPr="00B77ADE" w:rsidRDefault="00B77ADE" w:rsidP="00B77ADE">
            <w:pPr>
              <w:numPr>
                <w:ilvl w:val="0"/>
                <w:numId w:val="12"/>
              </w:numPr>
              <w:contextualSpacing/>
            </w:pPr>
            <w:r w:rsidRPr="00B77ADE">
              <w:t>adviseren van gemeenten en overheden als het gaat om de Omgevingswet, én daar waar het gaat om Publieke Gezondheid en Veiligheid</w:t>
            </w:r>
          </w:p>
        </w:tc>
        <w:tc>
          <w:tcPr>
            <w:tcW w:w="3510" w:type="dxa"/>
            <w:vMerge w:val="restart"/>
          </w:tcPr>
          <w:p w:rsidR="00B77ADE" w:rsidRPr="00B77ADE" w:rsidRDefault="00B77ADE" w:rsidP="00B77ADE">
            <w:r w:rsidRPr="00B77ADE">
              <w:lastRenderedPageBreak/>
              <w:t>Gezonde burgers en weloverwogen beleidsbesluiten</w:t>
            </w:r>
          </w:p>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Streven naar integraal beleid en afstemming met gemeentelijke beleidsterreinen, zoals milieu, jeugdbeleid, ruimtelijke ordening, veiligheid, welzijn</w:t>
            </w:r>
          </w:p>
        </w:tc>
        <w:tc>
          <w:tcPr>
            <w:tcW w:w="5953" w:type="dxa"/>
          </w:tcPr>
          <w:p w:rsidR="00B77ADE" w:rsidRPr="00B77ADE" w:rsidRDefault="00B77ADE" w:rsidP="00B77ADE">
            <w:pPr>
              <w:numPr>
                <w:ilvl w:val="0"/>
                <w:numId w:val="11"/>
              </w:numPr>
              <w:contextualSpacing/>
            </w:pPr>
            <w:r w:rsidRPr="00B77ADE">
              <w:t>continue afstemming met gemeenten door onder meer accountgesprekken, informatiebijeenkomsten en overleggen op ambtelijk niveau</w:t>
            </w:r>
          </w:p>
          <w:p w:rsidR="00B77ADE" w:rsidRPr="00B77ADE" w:rsidRDefault="00B77ADE" w:rsidP="00B77ADE">
            <w:pPr>
              <w:ind w:left="360"/>
              <w:contextualSpacing/>
            </w:pPr>
          </w:p>
          <w:p w:rsidR="00B77ADE" w:rsidRPr="00B77ADE" w:rsidRDefault="00B77ADE" w:rsidP="00B77ADE"/>
          <w:p w:rsidR="00B77ADE" w:rsidRPr="00B77ADE" w:rsidRDefault="00B77ADE" w:rsidP="00B77ADE"/>
          <w:p w:rsidR="00B77ADE" w:rsidRPr="00B77ADE" w:rsidRDefault="00B77ADE" w:rsidP="00B77ADE"/>
          <w:p w:rsidR="00B77ADE" w:rsidRPr="00B77ADE" w:rsidRDefault="00B77ADE" w:rsidP="00B77ADE"/>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pPr>
              <w:rPr>
                <w:highlight w:val="yellow"/>
              </w:rPr>
            </w:pPr>
            <w:r w:rsidRPr="00B77ADE">
              <w:t>Publieke gezondheid verbinden aan het sociale domein door het vergaren, analyseren, verrijken en duiden van (</w:t>
            </w:r>
            <w:proofErr w:type="spellStart"/>
            <w:r w:rsidRPr="00B77ADE">
              <w:t>onderzoeks</w:t>
            </w:r>
            <w:proofErr w:type="spellEnd"/>
            <w:r w:rsidRPr="00B77ADE">
              <w:t xml:space="preserve">) informatie </w:t>
            </w:r>
          </w:p>
        </w:tc>
        <w:tc>
          <w:tcPr>
            <w:tcW w:w="5953" w:type="dxa"/>
          </w:tcPr>
          <w:p w:rsidR="00B77ADE" w:rsidRPr="00B77ADE" w:rsidRDefault="00B77ADE" w:rsidP="00B77ADE">
            <w:pPr>
              <w:numPr>
                <w:ilvl w:val="0"/>
                <w:numId w:val="11"/>
              </w:numPr>
              <w:contextualSpacing/>
            </w:pPr>
            <w:r w:rsidRPr="00B77ADE">
              <w:t>GGD onderzoeksgegevens beschikbaar stellen aan gemeenten. En deze informatie verrijken met gegevens uit andere bronnen</w:t>
            </w:r>
          </w:p>
          <w:p w:rsidR="00B77ADE" w:rsidRPr="00B77ADE" w:rsidRDefault="00B77ADE" w:rsidP="00B77ADE">
            <w:pPr>
              <w:numPr>
                <w:ilvl w:val="0"/>
                <w:numId w:val="11"/>
              </w:numPr>
              <w:contextualSpacing/>
            </w:pPr>
            <w:r w:rsidRPr="00B77ADE">
              <w:t>het doen van verdiepend onderzoek en analyses op eigen initiatief en op verzoek van gemeenten en ketenpartners.</w:t>
            </w:r>
          </w:p>
          <w:p w:rsidR="00B77ADE" w:rsidRPr="00B77ADE" w:rsidRDefault="00B77ADE" w:rsidP="00B77ADE">
            <w:pPr>
              <w:numPr>
                <w:ilvl w:val="0"/>
                <w:numId w:val="11"/>
              </w:numPr>
              <w:contextualSpacing/>
            </w:pPr>
          </w:p>
          <w:p w:rsidR="00B77ADE" w:rsidRPr="00B77ADE" w:rsidRDefault="00B77ADE" w:rsidP="00B77ADE">
            <w:pPr>
              <w:ind w:left="360"/>
              <w:contextualSpacing/>
              <w:rPr>
                <w:highlight w:val="yellow"/>
              </w:rPr>
            </w:pPr>
          </w:p>
        </w:tc>
        <w:tc>
          <w:tcPr>
            <w:tcW w:w="3510" w:type="dxa"/>
            <w:vMerge/>
          </w:tcPr>
          <w:p w:rsidR="00B77ADE" w:rsidRPr="00B77ADE" w:rsidRDefault="00B77ADE" w:rsidP="00B77ADE"/>
        </w:tc>
      </w:tr>
      <w:tr w:rsidR="00B77ADE" w:rsidRPr="00B77ADE" w:rsidTr="001434D1">
        <w:tc>
          <w:tcPr>
            <w:tcW w:w="1991" w:type="dxa"/>
            <w:vMerge/>
          </w:tcPr>
          <w:p w:rsidR="00B77ADE" w:rsidRPr="00B77ADE" w:rsidRDefault="00B77ADE" w:rsidP="00B77ADE"/>
        </w:tc>
        <w:tc>
          <w:tcPr>
            <w:tcW w:w="2766" w:type="dxa"/>
          </w:tcPr>
          <w:p w:rsidR="00B77ADE" w:rsidRPr="00B77ADE" w:rsidRDefault="00B77ADE" w:rsidP="00B77ADE">
            <w:r w:rsidRPr="00B77ADE">
              <w:t>Continu beeld van en inzicht in de gezondheid van de inwoners van Kennemerland</w:t>
            </w:r>
          </w:p>
        </w:tc>
        <w:tc>
          <w:tcPr>
            <w:tcW w:w="5953" w:type="dxa"/>
          </w:tcPr>
          <w:p w:rsidR="00B77ADE" w:rsidRPr="00B77ADE" w:rsidRDefault="00B77ADE" w:rsidP="00B77ADE">
            <w:pPr>
              <w:numPr>
                <w:ilvl w:val="0"/>
                <w:numId w:val="11"/>
              </w:numPr>
              <w:contextualSpacing/>
            </w:pPr>
            <w:r w:rsidRPr="00B77ADE">
              <w:t xml:space="preserve">beheer en onderhoud van de digitale gezondheidsatlas; </w:t>
            </w:r>
            <w:hyperlink r:id="rId11" w:history="1">
              <w:r w:rsidRPr="00B77ADE">
                <w:rPr>
                  <w:color w:val="0000FF" w:themeColor="hyperlink"/>
                  <w:u w:val="single"/>
                </w:rPr>
                <w:t>www.gezondheidsatlaskennemerland.nl</w:t>
              </w:r>
            </w:hyperlink>
            <w:r w:rsidRPr="00B77ADE">
              <w:t xml:space="preserve"> </w:t>
            </w:r>
          </w:p>
          <w:p w:rsidR="00B77ADE" w:rsidRPr="00B77ADE" w:rsidRDefault="00B77ADE" w:rsidP="00B77ADE">
            <w:pPr>
              <w:numPr>
                <w:ilvl w:val="0"/>
                <w:numId w:val="11"/>
              </w:numPr>
              <w:contextualSpacing/>
            </w:pPr>
            <w:r w:rsidRPr="00B77ADE">
              <w:t>delen van kennis en aanvullende informatie op basis van onderzoeksgegevens via digitale media. Onder andere via een gezondheidsapp.</w:t>
            </w:r>
          </w:p>
        </w:tc>
        <w:tc>
          <w:tcPr>
            <w:tcW w:w="3510" w:type="dxa"/>
            <w:vMerge/>
          </w:tcPr>
          <w:p w:rsidR="00B77ADE" w:rsidRPr="00B77ADE" w:rsidRDefault="00B77ADE" w:rsidP="00B77ADE"/>
        </w:tc>
      </w:tr>
    </w:tbl>
    <w:p w:rsidR="004054A9" w:rsidRPr="003542F3" w:rsidRDefault="004054A9" w:rsidP="003542F3">
      <w:pPr>
        <w:rPr>
          <w:b/>
        </w:rPr>
        <w:sectPr w:rsidR="004054A9" w:rsidRPr="003542F3" w:rsidSect="00BF0184">
          <w:pgSz w:w="16838" w:h="11906" w:orient="landscape"/>
          <w:pgMar w:top="1417" w:right="1417" w:bottom="1417" w:left="1417" w:header="708" w:footer="708" w:gutter="0"/>
          <w:cols w:space="708"/>
          <w:docGrid w:linePitch="360"/>
        </w:sectPr>
      </w:pPr>
      <w:r>
        <w:rPr>
          <w:b/>
        </w:rPr>
        <w:tab/>
      </w:r>
      <w:r>
        <w:rPr>
          <w:b/>
        </w:rPr>
        <w:tab/>
      </w:r>
      <w:r>
        <w:rPr>
          <w:b/>
        </w:rPr>
        <w:tab/>
      </w:r>
    </w:p>
    <w:p w:rsidR="0024185C" w:rsidRDefault="00403148" w:rsidP="00282673">
      <w:pPr>
        <w:rPr>
          <w:b/>
        </w:rPr>
      </w:pPr>
      <w:r w:rsidRPr="003542F3">
        <w:rPr>
          <w:b/>
        </w:rPr>
        <w:lastRenderedPageBreak/>
        <w:t>Wat mag het kosten?</w:t>
      </w:r>
    </w:p>
    <w:p w:rsidR="00D6032C" w:rsidRPr="003542F3" w:rsidRDefault="00EE1B48" w:rsidP="00282673">
      <w:pPr>
        <w:rPr>
          <w:b/>
        </w:rPr>
      </w:pPr>
      <w:r w:rsidRPr="00EE1B48">
        <w:rPr>
          <w:noProof/>
          <w:lang w:eastAsia="nl-NL"/>
        </w:rPr>
        <w:drawing>
          <wp:inline distT="0" distB="0" distL="0" distR="0" wp14:anchorId="7E58C4DC" wp14:editId="2E852D06">
            <wp:extent cx="5760720" cy="8088708"/>
            <wp:effectExtent l="0" t="0" r="0" b="762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8088708"/>
                    </a:xfrm>
                    <a:prstGeom prst="rect">
                      <a:avLst/>
                    </a:prstGeom>
                    <a:noFill/>
                    <a:ln>
                      <a:noFill/>
                    </a:ln>
                  </pic:spPr>
                </pic:pic>
              </a:graphicData>
            </a:graphic>
          </wp:inline>
        </w:drawing>
      </w:r>
    </w:p>
    <w:p w:rsidR="00B34A74" w:rsidRDefault="00190A51" w:rsidP="00282673">
      <w:pPr>
        <w:rPr>
          <w:b/>
          <w:sz w:val="20"/>
          <w:szCs w:val="20"/>
        </w:rPr>
      </w:pPr>
      <w:r w:rsidRPr="00190A51">
        <w:rPr>
          <w:noProof/>
          <w:lang w:eastAsia="nl-NL"/>
        </w:rPr>
        <w:lastRenderedPageBreak/>
        <w:drawing>
          <wp:inline distT="0" distB="0" distL="0" distR="0" wp14:anchorId="461D17D2" wp14:editId="6527A88E">
            <wp:extent cx="5443855" cy="3466465"/>
            <wp:effectExtent l="0" t="0" r="4445"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3855" cy="3466465"/>
                    </a:xfrm>
                    <a:prstGeom prst="rect">
                      <a:avLst/>
                    </a:prstGeom>
                    <a:noFill/>
                    <a:ln>
                      <a:noFill/>
                    </a:ln>
                  </pic:spPr>
                </pic:pic>
              </a:graphicData>
            </a:graphic>
          </wp:inline>
        </w:drawing>
      </w:r>
    </w:p>
    <w:p w:rsidR="006B6FF3" w:rsidRDefault="006B6FF3">
      <w:pPr>
        <w:rPr>
          <w:b/>
          <w:sz w:val="20"/>
          <w:szCs w:val="20"/>
        </w:rPr>
      </w:pPr>
      <w:r>
        <w:rPr>
          <w:b/>
          <w:sz w:val="20"/>
          <w:szCs w:val="20"/>
        </w:rPr>
        <w:br w:type="page"/>
      </w:r>
    </w:p>
    <w:p w:rsidR="00AC16D7" w:rsidRDefault="00AC16D7" w:rsidP="0069463B">
      <w:pPr>
        <w:pStyle w:val="Kop2"/>
        <w:numPr>
          <w:ilvl w:val="1"/>
          <w:numId w:val="1"/>
        </w:numPr>
      </w:pPr>
      <w:bookmarkStart w:id="9" w:name="_Toc436144456"/>
      <w:bookmarkStart w:id="10" w:name="_Toc478655805"/>
      <w:r>
        <w:lastRenderedPageBreak/>
        <w:t xml:space="preserve">Programma </w:t>
      </w:r>
      <w:r w:rsidR="0033324F">
        <w:t>Jeugdgezondheidszorg</w:t>
      </w:r>
      <w:bookmarkEnd w:id="9"/>
      <w:bookmarkEnd w:id="10"/>
    </w:p>
    <w:p w:rsidR="0051773C" w:rsidRDefault="0051773C" w:rsidP="0051773C">
      <w:pPr>
        <w:pStyle w:val="Geenafstand"/>
      </w:pPr>
    </w:p>
    <w:p w:rsidR="004154DF" w:rsidRDefault="004154DF" w:rsidP="004154DF">
      <w:pPr>
        <w:rPr>
          <w:b/>
        </w:rPr>
      </w:pPr>
      <w:r w:rsidRPr="003542F3">
        <w:rPr>
          <w:b/>
        </w:rPr>
        <w:t>Ambitie van het programma</w:t>
      </w:r>
    </w:p>
    <w:p w:rsidR="004154DF" w:rsidRPr="003542F3" w:rsidRDefault="00C37A5D" w:rsidP="004154DF">
      <w:pPr>
        <w:rPr>
          <w:b/>
        </w:rPr>
      </w:pPr>
      <w:r>
        <w:t xml:space="preserve">GGD </w:t>
      </w:r>
      <w:r w:rsidR="004154DF">
        <w:t>Kennemerland</w:t>
      </w:r>
      <w:r w:rsidR="005615F6">
        <w:t xml:space="preserve"> </w:t>
      </w:r>
      <w:r w:rsidR="004154DF" w:rsidRPr="00F30C2B">
        <w:t>staa</w:t>
      </w:r>
      <w:r w:rsidR="004154DF">
        <w:t>t</w:t>
      </w:r>
      <w:r w:rsidR="004154DF" w:rsidRPr="00F30C2B">
        <w:t xml:space="preserve"> voor het veilig en gezond opgroeien van alle kinderen in Kennemerland. Al onze kennis, ervaring, betrokkenheid en middelen </w:t>
      </w:r>
      <w:r>
        <w:t>wordt ingezet</w:t>
      </w:r>
      <w:r w:rsidR="005615F6">
        <w:t xml:space="preserve"> </w:t>
      </w:r>
      <w:r>
        <w:t>voor</w:t>
      </w:r>
      <w:r w:rsidR="004154DF" w:rsidRPr="00F30C2B">
        <w:t xml:space="preserve"> gelijkwaardige kansen en optimale ontwikkeling van kinderen.</w:t>
      </w:r>
    </w:p>
    <w:p w:rsidR="004154DF" w:rsidRDefault="004154DF" w:rsidP="004154DF">
      <w:pPr>
        <w:rPr>
          <w:b/>
        </w:rPr>
      </w:pPr>
      <w:r>
        <w:rPr>
          <w:b/>
        </w:rPr>
        <w:t>Uitgangspunten</w:t>
      </w:r>
      <w:r w:rsidRPr="003542F3">
        <w:rPr>
          <w:b/>
        </w:rPr>
        <w:t xml:space="preserve"> van beleid</w:t>
      </w:r>
      <w:r>
        <w:rPr>
          <w:b/>
        </w:rPr>
        <w:t xml:space="preserve"> </w:t>
      </w:r>
    </w:p>
    <w:p w:rsidR="004154DF" w:rsidRDefault="004154DF" w:rsidP="004154DF">
      <w:pPr>
        <w:spacing w:after="0"/>
      </w:pPr>
      <w:r>
        <w:t>De J</w:t>
      </w:r>
      <w:r w:rsidR="00C37A5D">
        <w:t>eugdgezondheidszorg (J</w:t>
      </w:r>
      <w:r>
        <w:t>GZ</w:t>
      </w:r>
      <w:r w:rsidR="00C37A5D">
        <w:t>)</w:t>
      </w:r>
      <w:r w:rsidR="005615F6">
        <w:t xml:space="preserve"> </w:t>
      </w:r>
      <w:r>
        <w:t>levert</w:t>
      </w:r>
      <w:r w:rsidR="00C37A5D">
        <w:t>, door het uitvoeren van het basistakenpakket,</w:t>
      </w:r>
      <w:r w:rsidR="005615F6">
        <w:t xml:space="preserve"> </w:t>
      </w:r>
      <w:r>
        <w:t xml:space="preserve">een grote bijdrage aan de </w:t>
      </w:r>
      <w:r w:rsidR="00C37A5D">
        <w:t>gezondheidswinst voor jeugdigen.</w:t>
      </w:r>
      <w:r w:rsidR="005615F6">
        <w:t xml:space="preserve"> </w:t>
      </w:r>
      <w:r w:rsidR="00C37A5D">
        <w:t>Ook draagt de JGZ</w:t>
      </w:r>
      <w:r>
        <w:t xml:space="preserve"> met haar samenwerkingspartners bij aan de gewenste veranderingen in de zorg voor jeugd. Deze veranderingen richten zich op het bevorderen van de eigen kracht van jeugdigen en gezinnen, het bevestigen van ouders in hun rol als goede opvoeders en het reduceren van de behoefte aan specialistische zorg. Sleutelbegrippen</w:t>
      </w:r>
      <w:r w:rsidR="005615F6">
        <w:t xml:space="preserve"> </w:t>
      </w:r>
      <w:r>
        <w:t xml:space="preserve">zijn </w:t>
      </w:r>
      <w:proofErr w:type="spellStart"/>
      <w:r>
        <w:t>ontzorgen</w:t>
      </w:r>
      <w:proofErr w:type="spellEnd"/>
      <w:r>
        <w:t xml:space="preserve">, gepaste zorg (normaliseren, </w:t>
      </w:r>
      <w:proofErr w:type="spellStart"/>
      <w:r w:rsidR="00771AE2">
        <w:t>de</w:t>
      </w:r>
      <w:r w:rsidR="004945DD">
        <w:t>medicaliseren</w:t>
      </w:r>
      <w:proofErr w:type="spellEnd"/>
      <w:r>
        <w:t>) en het tijdig bieden van de</w:t>
      </w:r>
      <w:r w:rsidR="00D437E6">
        <w:t xml:space="preserve"> </w:t>
      </w:r>
      <w:r>
        <w:t xml:space="preserve">juiste zorg op maat en integrale hulp. </w:t>
      </w:r>
      <w:r w:rsidR="00D437E6">
        <w:t>GGD Kennemerland</w:t>
      </w:r>
      <w:r>
        <w:t xml:space="preserve"> heeft als enige partij in de gezondheidszorg vrijwel alle jeugdigen van </w:t>
      </w:r>
      <w:r w:rsidR="00D437E6">
        <w:t>4</w:t>
      </w:r>
      <w:r>
        <w:t xml:space="preserve"> tot 18 jaar in </w:t>
      </w:r>
      <w:r w:rsidR="00D437E6">
        <w:t xml:space="preserve">Kennemerland </w:t>
      </w:r>
      <w:r>
        <w:t>d in beeld en biedt hen regelmatige, preventieve zorg aan. Tijdig signaleren van (potentiële) problemen die tot een risico kunnen leiden, is een essentieel onderdeel van deze zorg.</w:t>
      </w:r>
    </w:p>
    <w:p w:rsidR="004154DF" w:rsidRDefault="004154DF" w:rsidP="004154DF">
      <w:pPr>
        <w:spacing w:before="240"/>
      </w:pPr>
      <w:r>
        <w:t>Dit doen we in overleg met gemeenten, binnen het basistakenpakket JGZ en gebaseerd op professionele richtlijnen. JGZ vervult een verbindende rol tussen enerzijds (voor)scholen, wijkteams en –voorzieningen, eerstelijns voorzieningen en anderzijds de specialistische hulp. Een goede koppeling tussen jeugdgezondheidszorg, huisartsenzorg en jeugdhulpverlening is daarbij het uitgangspunt.</w:t>
      </w:r>
      <w:r w:rsidR="005615F6">
        <w:t xml:space="preserve"> </w:t>
      </w:r>
    </w:p>
    <w:p w:rsidR="004154DF" w:rsidRDefault="004154DF" w:rsidP="004154DF">
      <w:pPr>
        <w:rPr>
          <w:b/>
        </w:rPr>
      </w:pPr>
      <w:r>
        <w:rPr>
          <w:b/>
        </w:rPr>
        <w:t>Relevante Beleidsnotities</w:t>
      </w:r>
      <w:r w:rsidR="00D437E6">
        <w:rPr>
          <w:b/>
        </w:rPr>
        <w:t xml:space="preserve"> en wettelijk kader</w:t>
      </w:r>
    </w:p>
    <w:p w:rsidR="004154DF" w:rsidRPr="00CE7B93" w:rsidRDefault="004154DF" w:rsidP="009312EE">
      <w:pPr>
        <w:pStyle w:val="Lijstalinea"/>
        <w:numPr>
          <w:ilvl w:val="0"/>
          <w:numId w:val="13"/>
        </w:numPr>
      </w:pPr>
      <w:r w:rsidRPr="00CE7B93">
        <w:t>W</w:t>
      </w:r>
      <w:r>
        <w:t xml:space="preserve">et </w:t>
      </w:r>
      <w:r w:rsidRPr="00CE7B93">
        <w:t>P</w:t>
      </w:r>
      <w:r>
        <w:t xml:space="preserve">ublieke </w:t>
      </w:r>
      <w:r w:rsidRPr="00CE7B93">
        <w:t>G</w:t>
      </w:r>
      <w:r>
        <w:t>ezondheid (WPG)</w:t>
      </w:r>
    </w:p>
    <w:p w:rsidR="004154DF" w:rsidRPr="00CE7B93" w:rsidRDefault="004154DF" w:rsidP="009312EE">
      <w:pPr>
        <w:pStyle w:val="Lijstalinea"/>
        <w:numPr>
          <w:ilvl w:val="0"/>
          <w:numId w:val="13"/>
        </w:numPr>
      </w:pPr>
      <w:r>
        <w:t xml:space="preserve">Aangepast </w:t>
      </w:r>
      <w:r w:rsidRPr="00CE7B93">
        <w:t>Besluit Publieke Gezondheid</w:t>
      </w:r>
      <w:r>
        <w:t xml:space="preserve"> (BPG)</w:t>
      </w:r>
    </w:p>
    <w:p w:rsidR="004154DF" w:rsidRPr="00CE7B93" w:rsidRDefault="004154DF" w:rsidP="009312EE">
      <w:pPr>
        <w:pStyle w:val="Lijstalinea"/>
        <w:numPr>
          <w:ilvl w:val="0"/>
          <w:numId w:val="13"/>
        </w:numPr>
      </w:pPr>
      <w:proofErr w:type="spellStart"/>
      <w:r w:rsidRPr="00CE7B93">
        <w:t>Jeugdwet</w:t>
      </w:r>
      <w:proofErr w:type="spellEnd"/>
    </w:p>
    <w:p w:rsidR="004154DF" w:rsidRPr="00CE7B93" w:rsidRDefault="004154DF" w:rsidP="009312EE">
      <w:pPr>
        <w:pStyle w:val="Lijstalinea"/>
        <w:numPr>
          <w:ilvl w:val="0"/>
          <w:numId w:val="13"/>
        </w:numPr>
      </w:pPr>
      <w:r w:rsidRPr="00CE7B93">
        <w:t>Veranderde regelgeving kindermishandeling en huiselijk geweld</w:t>
      </w:r>
    </w:p>
    <w:p w:rsidR="004154DF" w:rsidRPr="00CE7B93" w:rsidRDefault="004154DF" w:rsidP="009312EE">
      <w:pPr>
        <w:pStyle w:val="Lijstalinea"/>
        <w:numPr>
          <w:ilvl w:val="0"/>
          <w:numId w:val="13"/>
        </w:numPr>
      </w:pPr>
      <w:r w:rsidRPr="00CE7B93">
        <w:t>Passend onderwijs</w:t>
      </w:r>
    </w:p>
    <w:p w:rsidR="004154DF" w:rsidRPr="00CE7B93" w:rsidRDefault="004154DF" w:rsidP="009312EE">
      <w:pPr>
        <w:pStyle w:val="Lijstalinea"/>
        <w:numPr>
          <w:ilvl w:val="0"/>
          <w:numId w:val="13"/>
        </w:numPr>
      </w:pPr>
      <w:r w:rsidRPr="00CE7B93">
        <w:t>Participatiewet</w:t>
      </w:r>
    </w:p>
    <w:p w:rsidR="004154DF" w:rsidRPr="00CE7B93" w:rsidRDefault="004154DF" w:rsidP="009312EE">
      <w:pPr>
        <w:pStyle w:val="Lijstalinea"/>
        <w:numPr>
          <w:ilvl w:val="0"/>
          <w:numId w:val="13"/>
        </w:numPr>
      </w:pPr>
      <w:r w:rsidRPr="00CE7B93">
        <w:t>Zorgverzekeringswet</w:t>
      </w:r>
    </w:p>
    <w:p w:rsidR="004154DF" w:rsidRPr="00CE7B93" w:rsidRDefault="004154DF" w:rsidP="009312EE">
      <w:pPr>
        <w:pStyle w:val="Lijstalinea"/>
        <w:numPr>
          <w:ilvl w:val="0"/>
          <w:numId w:val="13"/>
        </w:numPr>
      </w:pPr>
      <w:r>
        <w:t>Wet kwaliteit, klachten en geschillen zorg (</w:t>
      </w:r>
      <w:proofErr w:type="spellStart"/>
      <w:r>
        <w:t>Wkkgz</w:t>
      </w:r>
      <w:proofErr w:type="spellEnd"/>
      <w:r>
        <w:t xml:space="preserve">) </w:t>
      </w:r>
    </w:p>
    <w:p w:rsidR="004154DF" w:rsidRPr="00CE7B93" w:rsidRDefault="004154DF" w:rsidP="009312EE">
      <w:pPr>
        <w:pStyle w:val="Lijstalinea"/>
        <w:numPr>
          <w:ilvl w:val="0"/>
          <w:numId w:val="13"/>
        </w:numPr>
      </w:pPr>
      <w:r w:rsidRPr="00CE7B93">
        <w:t>Wet op de geneeskundige behandelingsovereenkomst</w:t>
      </w:r>
      <w:r>
        <w:t xml:space="preserve"> (</w:t>
      </w:r>
      <w:proofErr w:type="spellStart"/>
      <w:r>
        <w:t>Wgbo</w:t>
      </w:r>
      <w:proofErr w:type="spellEnd"/>
      <w:r>
        <w:t>)</w:t>
      </w:r>
    </w:p>
    <w:p w:rsidR="004154DF" w:rsidRPr="00CE7B93" w:rsidRDefault="00771AE2" w:rsidP="009312EE">
      <w:pPr>
        <w:pStyle w:val="Lijstalinea"/>
        <w:numPr>
          <w:ilvl w:val="0"/>
          <w:numId w:val="13"/>
        </w:numPr>
      </w:pPr>
      <w:r>
        <w:t>Wet bescherming p</w:t>
      </w:r>
      <w:r w:rsidR="004154DF" w:rsidRPr="00CE7B93">
        <w:t>ersoonsgegevens</w:t>
      </w:r>
      <w:r w:rsidR="004154DF">
        <w:t xml:space="preserve"> (WBP)</w:t>
      </w:r>
    </w:p>
    <w:p w:rsidR="004154DF" w:rsidRPr="00481182" w:rsidRDefault="004154DF" w:rsidP="009312EE">
      <w:pPr>
        <w:pStyle w:val="Lijstalinea"/>
        <w:numPr>
          <w:ilvl w:val="0"/>
          <w:numId w:val="13"/>
        </w:numPr>
        <w:rPr>
          <w:b/>
        </w:rPr>
      </w:pPr>
      <w:r w:rsidRPr="00CE7B93">
        <w:t xml:space="preserve">Wet gebruik </w:t>
      </w:r>
      <w:r w:rsidR="004945DD" w:rsidRPr="00CE7B93">
        <w:t>Burgerservicenummer</w:t>
      </w:r>
      <w:r w:rsidRPr="00CE7B93">
        <w:t xml:space="preserve"> in de zorg</w:t>
      </w:r>
    </w:p>
    <w:p w:rsidR="004154DF" w:rsidRPr="002E1E3B" w:rsidRDefault="004154DF" w:rsidP="009312EE">
      <w:pPr>
        <w:pStyle w:val="Lijstalinea"/>
        <w:numPr>
          <w:ilvl w:val="0"/>
          <w:numId w:val="13"/>
        </w:numPr>
      </w:pPr>
      <w:r>
        <w:t>Landelijk professioneel kader JGZ (</w:t>
      </w:r>
      <w:r w:rsidRPr="002E1E3B">
        <w:t>NCJ</w:t>
      </w:r>
      <w:r>
        <w:t>)</w:t>
      </w:r>
    </w:p>
    <w:p w:rsidR="004154DF" w:rsidRPr="00481182" w:rsidRDefault="004154DF" w:rsidP="009312EE">
      <w:pPr>
        <w:pStyle w:val="Lijstalinea"/>
        <w:numPr>
          <w:ilvl w:val="0"/>
          <w:numId w:val="13"/>
        </w:numPr>
        <w:rPr>
          <w:b/>
        </w:rPr>
      </w:pPr>
      <w:r w:rsidRPr="008676E2">
        <w:t>Preventieve zorg voor Jeugd (NCJ)</w:t>
      </w:r>
    </w:p>
    <w:p w:rsidR="00486B4A" w:rsidRDefault="00486B4A" w:rsidP="004154DF">
      <w:pPr>
        <w:rPr>
          <w:b/>
        </w:rPr>
      </w:pPr>
    </w:p>
    <w:p w:rsidR="00486B4A" w:rsidRDefault="00486B4A" w:rsidP="004154DF">
      <w:pPr>
        <w:rPr>
          <w:b/>
        </w:rPr>
      </w:pPr>
    </w:p>
    <w:p w:rsidR="00486B4A" w:rsidRDefault="00486B4A" w:rsidP="004154DF">
      <w:pPr>
        <w:rPr>
          <w:b/>
        </w:rPr>
      </w:pPr>
    </w:p>
    <w:p w:rsidR="004154DF" w:rsidRDefault="004154DF" w:rsidP="004154DF">
      <w:pPr>
        <w:rPr>
          <w:b/>
        </w:rPr>
      </w:pPr>
      <w:r w:rsidRPr="003542F3">
        <w:rPr>
          <w:b/>
        </w:rPr>
        <w:t>Risico’s</w:t>
      </w:r>
    </w:p>
    <w:tbl>
      <w:tblPr>
        <w:tblStyle w:val="Tabelraster"/>
        <w:tblW w:w="9180" w:type="dxa"/>
        <w:tblLook w:val="04A0" w:firstRow="1" w:lastRow="0" w:firstColumn="1" w:lastColumn="0" w:noHBand="0" w:noVBand="1"/>
      </w:tblPr>
      <w:tblGrid>
        <w:gridCol w:w="3070"/>
        <w:gridCol w:w="6110"/>
      </w:tblGrid>
      <w:tr w:rsidR="00D437E6" w:rsidRPr="003542F3" w:rsidTr="00827BCA">
        <w:tc>
          <w:tcPr>
            <w:tcW w:w="3070" w:type="dxa"/>
            <w:shd w:val="clear" w:color="auto" w:fill="C6D9F1" w:themeFill="text2" w:themeFillTint="33"/>
          </w:tcPr>
          <w:p w:rsidR="00D437E6" w:rsidRPr="003542F3" w:rsidRDefault="00D437E6" w:rsidP="00827BCA">
            <w:r w:rsidRPr="003542F3">
              <w:t>Risico</w:t>
            </w:r>
          </w:p>
        </w:tc>
        <w:tc>
          <w:tcPr>
            <w:tcW w:w="6110" w:type="dxa"/>
            <w:shd w:val="clear" w:color="auto" w:fill="C6D9F1" w:themeFill="text2" w:themeFillTint="33"/>
          </w:tcPr>
          <w:p w:rsidR="00D437E6" w:rsidRPr="003542F3" w:rsidRDefault="00D437E6" w:rsidP="00827BCA">
            <w:r w:rsidRPr="003542F3">
              <w:t>Beheersmaatregel</w:t>
            </w:r>
          </w:p>
        </w:tc>
      </w:tr>
      <w:tr w:rsidR="00D437E6" w:rsidRPr="003542F3" w:rsidTr="00827BCA">
        <w:tc>
          <w:tcPr>
            <w:tcW w:w="3070" w:type="dxa"/>
          </w:tcPr>
          <w:p w:rsidR="00D437E6" w:rsidRPr="003542F3" w:rsidRDefault="00D437E6" w:rsidP="00827BCA">
            <w:r>
              <w:t>Niet adequaat medisch handelen</w:t>
            </w:r>
          </w:p>
        </w:tc>
        <w:tc>
          <w:tcPr>
            <w:tcW w:w="6110" w:type="dxa"/>
          </w:tcPr>
          <w:p w:rsidR="00D437E6" w:rsidRDefault="00D437E6" w:rsidP="00D437E6">
            <w:pPr>
              <w:pStyle w:val="Lijstalinea"/>
              <w:numPr>
                <w:ilvl w:val="0"/>
                <w:numId w:val="4"/>
              </w:numPr>
            </w:pPr>
            <w:r>
              <w:t>deskundige, goed opgeleide medewerkers, die jaarlijks trainingen en bijscholingen volgen</w:t>
            </w:r>
          </w:p>
          <w:p w:rsidR="00D437E6" w:rsidRDefault="00D437E6" w:rsidP="00D437E6">
            <w:pPr>
              <w:pStyle w:val="Lijstalinea"/>
              <w:numPr>
                <w:ilvl w:val="0"/>
                <w:numId w:val="4"/>
              </w:numPr>
            </w:pPr>
            <w:r>
              <w:t>melden en bespreken van</w:t>
            </w:r>
            <w:r w:rsidR="005615F6">
              <w:t xml:space="preserve"> </w:t>
            </w:r>
            <w:r>
              <w:t>(bijna) fouten en (bijna) incidenten</w:t>
            </w:r>
          </w:p>
          <w:p w:rsidR="00D437E6" w:rsidRDefault="00D437E6" w:rsidP="00D437E6">
            <w:pPr>
              <w:pStyle w:val="Lijstalinea"/>
              <w:numPr>
                <w:ilvl w:val="0"/>
                <w:numId w:val="4"/>
              </w:numPr>
            </w:pPr>
            <w:r>
              <w:t xml:space="preserve">klachten over dienstverlening serieus nemen </w:t>
            </w:r>
          </w:p>
          <w:p w:rsidR="00D437E6" w:rsidRPr="003542F3" w:rsidRDefault="00D437E6" w:rsidP="00D437E6">
            <w:pPr>
              <w:pStyle w:val="Lijstalinea"/>
              <w:numPr>
                <w:ilvl w:val="0"/>
                <w:numId w:val="4"/>
              </w:numPr>
            </w:pPr>
            <w:r>
              <w:t>leer- en verbeterpunten doorvoeren in de betreffende werkprocessen</w:t>
            </w:r>
          </w:p>
        </w:tc>
      </w:tr>
      <w:tr w:rsidR="00D437E6" w:rsidRPr="003542F3" w:rsidTr="00827BCA">
        <w:tc>
          <w:tcPr>
            <w:tcW w:w="3070" w:type="dxa"/>
          </w:tcPr>
          <w:p w:rsidR="00D437E6" w:rsidRDefault="00D437E6" w:rsidP="00827BCA">
            <w:r>
              <w:t>Onvoldoende inspelen op nieuwe wetgeving;</w:t>
            </w:r>
          </w:p>
          <w:p w:rsidR="00D437E6" w:rsidRPr="003542F3" w:rsidRDefault="00D437E6" w:rsidP="00827BCA"/>
        </w:tc>
        <w:tc>
          <w:tcPr>
            <w:tcW w:w="6110" w:type="dxa"/>
          </w:tcPr>
          <w:p w:rsidR="00D437E6" w:rsidRDefault="00D437E6" w:rsidP="00D437E6">
            <w:pPr>
              <w:pStyle w:val="Lijstalinea"/>
              <w:numPr>
                <w:ilvl w:val="0"/>
                <w:numId w:val="5"/>
              </w:numPr>
            </w:pPr>
            <w:r>
              <w:t>tijdig anticiperen op (aangekondigde) wetswijzigingen</w:t>
            </w:r>
          </w:p>
          <w:p w:rsidR="00D437E6" w:rsidRPr="003542F3" w:rsidRDefault="00D437E6" w:rsidP="00D437E6">
            <w:pPr>
              <w:pStyle w:val="Lijstalinea"/>
              <w:numPr>
                <w:ilvl w:val="0"/>
                <w:numId w:val="5"/>
              </w:numPr>
            </w:pPr>
            <w:r>
              <w:t>wijzigingen in alle betreffende werkprocessen doorvoeren</w:t>
            </w:r>
          </w:p>
        </w:tc>
      </w:tr>
      <w:tr w:rsidR="00D437E6" w:rsidRPr="003542F3" w:rsidTr="00827BCA">
        <w:tc>
          <w:tcPr>
            <w:tcW w:w="3070" w:type="dxa"/>
          </w:tcPr>
          <w:p w:rsidR="00D437E6" w:rsidRDefault="00D437E6" w:rsidP="00827BCA">
            <w:r>
              <w:t>suboptimale samenwerking met onze ketenpartners;</w:t>
            </w:r>
          </w:p>
          <w:p w:rsidR="00D437E6" w:rsidRPr="003542F3" w:rsidRDefault="00D437E6" w:rsidP="00827BCA"/>
        </w:tc>
        <w:tc>
          <w:tcPr>
            <w:tcW w:w="6110" w:type="dxa"/>
          </w:tcPr>
          <w:p w:rsidR="00D437E6" w:rsidRDefault="00D437E6" w:rsidP="00D437E6">
            <w:pPr>
              <w:pStyle w:val="Lijstalinea"/>
              <w:numPr>
                <w:ilvl w:val="0"/>
                <w:numId w:val="6"/>
              </w:numPr>
            </w:pPr>
            <w:r>
              <w:t>afstemmen</w:t>
            </w:r>
            <w:r w:rsidR="005615F6">
              <w:t xml:space="preserve"> </w:t>
            </w:r>
            <w:r>
              <w:t>dienstverlening met ketenpartners, zowel structureel als incidenteel</w:t>
            </w:r>
          </w:p>
          <w:p w:rsidR="00D437E6" w:rsidRPr="003542F3" w:rsidRDefault="00D437E6" w:rsidP="00D437E6">
            <w:pPr>
              <w:pStyle w:val="Lijstalinea"/>
              <w:numPr>
                <w:ilvl w:val="0"/>
                <w:numId w:val="6"/>
              </w:numPr>
            </w:pPr>
            <w:r>
              <w:t>gezamenlijke inspanningen evalueren, en</w:t>
            </w:r>
            <w:r w:rsidR="005615F6">
              <w:t xml:space="preserve"> </w:t>
            </w:r>
            <w:r>
              <w:t>leer- en verbeterpunten in de betreffende samenwerking en/of werkprocessen doorvoeren</w:t>
            </w:r>
          </w:p>
        </w:tc>
      </w:tr>
      <w:tr w:rsidR="00D437E6" w:rsidRPr="003542F3" w:rsidTr="00827BCA">
        <w:tc>
          <w:tcPr>
            <w:tcW w:w="3070" w:type="dxa"/>
          </w:tcPr>
          <w:p w:rsidR="00D437E6" w:rsidRPr="003542F3" w:rsidRDefault="00D437E6" w:rsidP="00827BCA">
            <w:r>
              <w:t>Adviezen worden niet opgevolgd</w:t>
            </w:r>
          </w:p>
        </w:tc>
        <w:tc>
          <w:tcPr>
            <w:tcW w:w="6110" w:type="dxa"/>
          </w:tcPr>
          <w:p w:rsidR="00D437E6" w:rsidRDefault="00D437E6" w:rsidP="00D437E6">
            <w:pPr>
              <w:pStyle w:val="Lijstalinea"/>
              <w:numPr>
                <w:ilvl w:val="0"/>
                <w:numId w:val="7"/>
              </w:numPr>
            </w:pPr>
            <w:r>
              <w:t>aansluiten bij de behoefte van de klant (gemeenten, ketenpartners, burgers)</w:t>
            </w:r>
          </w:p>
          <w:p w:rsidR="00D437E6" w:rsidRPr="003542F3" w:rsidRDefault="00D437E6" w:rsidP="00D437E6">
            <w:pPr>
              <w:pStyle w:val="Lijstalinea"/>
              <w:numPr>
                <w:ilvl w:val="0"/>
                <w:numId w:val="7"/>
              </w:numPr>
            </w:pPr>
            <w:r>
              <w:t>geven van</w:t>
            </w:r>
            <w:r w:rsidR="005615F6">
              <w:t xml:space="preserve"> </w:t>
            </w:r>
            <w:r>
              <w:t>professionele, onderbouwde adviezen</w:t>
            </w:r>
          </w:p>
        </w:tc>
      </w:tr>
    </w:tbl>
    <w:p w:rsidR="00D437E6" w:rsidRDefault="00D437E6" w:rsidP="004154DF">
      <w:pPr>
        <w:rPr>
          <w:b/>
        </w:rPr>
      </w:pPr>
    </w:p>
    <w:p w:rsidR="00D437E6" w:rsidRDefault="00D437E6" w:rsidP="004154DF">
      <w:pPr>
        <w:rPr>
          <w:b/>
        </w:rPr>
      </w:pPr>
    </w:p>
    <w:p w:rsidR="00D437E6" w:rsidRDefault="00D437E6" w:rsidP="004154DF">
      <w:pPr>
        <w:rPr>
          <w:b/>
        </w:rPr>
      </w:pPr>
    </w:p>
    <w:p w:rsidR="00D437E6" w:rsidRPr="003542F3" w:rsidRDefault="00D437E6" w:rsidP="004154DF">
      <w:pPr>
        <w:rPr>
          <w:b/>
        </w:rPr>
        <w:sectPr w:rsidR="00D437E6" w:rsidRPr="003542F3" w:rsidSect="001B4283">
          <w:pgSz w:w="11906" w:h="16838"/>
          <w:pgMar w:top="1417" w:right="1417" w:bottom="1417" w:left="1417" w:header="708" w:footer="708" w:gutter="0"/>
          <w:cols w:space="708"/>
          <w:docGrid w:linePitch="360"/>
        </w:sectPr>
      </w:pPr>
    </w:p>
    <w:p w:rsidR="004154DF" w:rsidRPr="003542F3" w:rsidRDefault="004154DF" w:rsidP="004154DF">
      <w:pPr>
        <w:rPr>
          <w:b/>
        </w:rPr>
      </w:pPr>
      <w:r w:rsidRPr="003542F3">
        <w:rPr>
          <w:b/>
        </w:rPr>
        <w:lastRenderedPageBreak/>
        <w:t>Doelenboom</w:t>
      </w:r>
    </w:p>
    <w:tbl>
      <w:tblPr>
        <w:tblStyle w:val="Tabelraster"/>
        <w:tblW w:w="0" w:type="auto"/>
        <w:tblLook w:val="04A0" w:firstRow="1" w:lastRow="0" w:firstColumn="1" w:lastColumn="0" w:noHBand="0" w:noVBand="1"/>
      </w:tblPr>
      <w:tblGrid>
        <w:gridCol w:w="2221"/>
        <w:gridCol w:w="2763"/>
        <w:gridCol w:w="5753"/>
        <w:gridCol w:w="3483"/>
      </w:tblGrid>
      <w:tr w:rsidR="00D96F33" w:rsidRPr="003542F3" w:rsidTr="001434D1">
        <w:tc>
          <w:tcPr>
            <w:tcW w:w="5194" w:type="dxa"/>
            <w:gridSpan w:val="2"/>
            <w:shd w:val="clear" w:color="auto" w:fill="auto"/>
          </w:tcPr>
          <w:p w:rsidR="00D96F33" w:rsidRPr="003542F3" w:rsidRDefault="00D96F33" w:rsidP="001434D1">
            <w:pPr>
              <w:rPr>
                <w:i/>
              </w:rPr>
            </w:pPr>
            <w:r w:rsidRPr="003542F3">
              <w:rPr>
                <w:i/>
              </w:rPr>
              <w:t>Wat willen we bereiken</w:t>
            </w:r>
          </w:p>
        </w:tc>
        <w:tc>
          <w:tcPr>
            <w:tcW w:w="6474" w:type="dxa"/>
            <w:shd w:val="clear" w:color="auto" w:fill="auto"/>
          </w:tcPr>
          <w:p w:rsidR="00D96F33" w:rsidRPr="003542F3" w:rsidRDefault="00D96F33" w:rsidP="001434D1">
            <w:pPr>
              <w:rPr>
                <w:i/>
              </w:rPr>
            </w:pPr>
            <w:r w:rsidRPr="003542F3">
              <w:rPr>
                <w:i/>
              </w:rPr>
              <w:t>Wat gaan we er voor doen</w:t>
            </w:r>
          </w:p>
        </w:tc>
        <w:tc>
          <w:tcPr>
            <w:tcW w:w="3947" w:type="dxa"/>
            <w:vMerge w:val="restart"/>
            <w:shd w:val="clear" w:color="auto" w:fill="auto"/>
          </w:tcPr>
          <w:p w:rsidR="00D96F33" w:rsidRPr="003542F3" w:rsidRDefault="00D96F33" w:rsidP="001434D1">
            <w:pPr>
              <w:rPr>
                <w:i/>
              </w:rPr>
            </w:pPr>
            <w:r w:rsidRPr="003542F3">
              <w:rPr>
                <w:i/>
              </w:rPr>
              <w:t xml:space="preserve">Wat is het </w:t>
            </w:r>
            <w:r>
              <w:rPr>
                <w:i/>
              </w:rPr>
              <w:t xml:space="preserve">beoogd maatschappelijk </w:t>
            </w:r>
            <w:r w:rsidRPr="003542F3">
              <w:rPr>
                <w:i/>
              </w:rPr>
              <w:t>effect</w:t>
            </w:r>
          </w:p>
        </w:tc>
      </w:tr>
      <w:tr w:rsidR="00D96F33" w:rsidRPr="003542F3" w:rsidTr="001434D1">
        <w:tc>
          <w:tcPr>
            <w:tcW w:w="2221" w:type="dxa"/>
            <w:shd w:val="clear" w:color="auto" w:fill="auto"/>
          </w:tcPr>
          <w:p w:rsidR="00D96F33" w:rsidRPr="003542F3" w:rsidRDefault="00D96F33" w:rsidP="001434D1">
            <w:r w:rsidRPr="003542F3">
              <w:t>Strategisch doel</w:t>
            </w:r>
          </w:p>
        </w:tc>
        <w:tc>
          <w:tcPr>
            <w:tcW w:w="2973" w:type="dxa"/>
            <w:shd w:val="clear" w:color="auto" w:fill="auto"/>
          </w:tcPr>
          <w:p w:rsidR="00D96F33" w:rsidRPr="003542F3" w:rsidRDefault="00D96F33" w:rsidP="001434D1">
            <w:r w:rsidRPr="003542F3">
              <w:t>Operationeel doel</w:t>
            </w:r>
          </w:p>
        </w:tc>
        <w:tc>
          <w:tcPr>
            <w:tcW w:w="6474" w:type="dxa"/>
            <w:shd w:val="clear" w:color="auto" w:fill="auto"/>
          </w:tcPr>
          <w:p w:rsidR="00D96F33" w:rsidRPr="003542F3" w:rsidRDefault="00D96F33" w:rsidP="001434D1">
            <w:r w:rsidRPr="003542F3">
              <w:t>Prestatie 201</w:t>
            </w:r>
            <w:r>
              <w:t>8</w:t>
            </w:r>
            <w:r w:rsidRPr="003542F3">
              <w:t>-202</w:t>
            </w:r>
            <w:r>
              <w:t>1</w:t>
            </w:r>
          </w:p>
        </w:tc>
        <w:tc>
          <w:tcPr>
            <w:tcW w:w="3947" w:type="dxa"/>
            <w:vMerge/>
            <w:shd w:val="clear" w:color="auto" w:fill="auto"/>
          </w:tcPr>
          <w:p w:rsidR="00D96F33" w:rsidRPr="003542F3" w:rsidRDefault="00D96F33" w:rsidP="001434D1"/>
        </w:tc>
      </w:tr>
      <w:tr w:rsidR="00D96F33" w:rsidRPr="003542F3" w:rsidTr="001434D1">
        <w:tc>
          <w:tcPr>
            <w:tcW w:w="15615" w:type="dxa"/>
            <w:gridSpan w:val="4"/>
            <w:shd w:val="clear" w:color="auto" w:fill="auto"/>
          </w:tcPr>
          <w:p w:rsidR="00D96F33" w:rsidRPr="003542F3" w:rsidRDefault="00D96F33" w:rsidP="001434D1"/>
        </w:tc>
      </w:tr>
      <w:tr w:rsidR="00D96F33" w:rsidRPr="003542F3" w:rsidTr="001434D1">
        <w:tc>
          <w:tcPr>
            <w:tcW w:w="2221" w:type="dxa"/>
            <w:vMerge w:val="restart"/>
            <w:shd w:val="clear" w:color="auto" w:fill="auto"/>
          </w:tcPr>
          <w:p w:rsidR="00D96F33" w:rsidRPr="003542F3" w:rsidRDefault="00D96F33" w:rsidP="001434D1">
            <w:r>
              <w:t>Veilig en gezond opgroeien van alle kinderen in Kennemerland</w:t>
            </w:r>
          </w:p>
        </w:tc>
        <w:tc>
          <w:tcPr>
            <w:tcW w:w="2973" w:type="dxa"/>
            <w:shd w:val="clear" w:color="auto" w:fill="auto"/>
          </w:tcPr>
          <w:p w:rsidR="00D96F33" w:rsidRDefault="00D96F33" w:rsidP="001434D1">
            <w:r>
              <w:t>Uitvoeren basistakenpakket volgens landelijk professioneel kader</w:t>
            </w:r>
          </w:p>
          <w:p w:rsidR="00D96F33" w:rsidRPr="003542F3" w:rsidRDefault="00D96F33" w:rsidP="001434D1">
            <w:r w:rsidRPr="003C529A">
              <w:t>(bereik</w:t>
            </w:r>
            <w:r>
              <w:t>:</w:t>
            </w:r>
            <w:r w:rsidRPr="003C529A">
              <w:t xml:space="preserve"> 95% </w:t>
            </w:r>
            <w:r>
              <w:t xml:space="preserve">van </w:t>
            </w:r>
            <w:r w:rsidRPr="003C529A">
              <w:t>alle contactmomenten)</w:t>
            </w:r>
          </w:p>
        </w:tc>
        <w:tc>
          <w:tcPr>
            <w:tcW w:w="6474" w:type="dxa"/>
            <w:shd w:val="clear" w:color="auto" w:fill="auto"/>
          </w:tcPr>
          <w:p w:rsidR="00D96F33" w:rsidRPr="002D5BD9" w:rsidRDefault="00D96F33" w:rsidP="00FB727F">
            <w:pPr>
              <w:pStyle w:val="Lijstalinea"/>
              <w:numPr>
                <w:ilvl w:val="0"/>
                <w:numId w:val="16"/>
              </w:numPr>
            </w:pPr>
            <w:r w:rsidRPr="002D5BD9">
              <w:t xml:space="preserve">Uitgangspunt is dat ieder kind (leeftijd 4-18 jaar) het volledige basispakket </w:t>
            </w:r>
            <w:r w:rsidRPr="00BF374B">
              <w:t>jeugdgezondheidszorg</w:t>
            </w:r>
            <w:r>
              <w:t xml:space="preserve"> </w:t>
            </w:r>
            <w:r w:rsidRPr="002D5BD9">
              <w:t xml:space="preserve">krijgt aangeboden. In gemeente Haarlemmermeer geldt het aanbod voor kinderen in de leeftijd van 0-18 jaar. </w:t>
            </w:r>
          </w:p>
          <w:p w:rsidR="00D96F33" w:rsidRDefault="00D96F33" w:rsidP="00FB727F">
            <w:pPr>
              <w:pStyle w:val="Lijstalinea"/>
              <w:numPr>
                <w:ilvl w:val="0"/>
                <w:numId w:val="16"/>
              </w:numPr>
            </w:pPr>
            <w:r>
              <w:t xml:space="preserve">Kerntaken: het systematisch volgen en beoordelen van de ontwikkeling van jeugdigen, het tijdig signaleren van problemen en vroegtijdig opsporen van specifieke stoornissen, het geven van preventieve voorlichting, advies, instructie en begeleiding, het </w:t>
            </w:r>
            <w:proofErr w:type="spellStart"/>
            <w:r>
              <w:t>ontzorgen</w:t>
            </w:r>
            <w:proofErr w:type="spellEnd"/>
            <w:r>
              <w:t xml:space="preserve"> en normaliseren, versterken eigen kracht en zelfredzaamheid van kinderen én ouders, het beoordelen of extra ondersteuning, hulp of zorg nodig is en direct de juiste zorg of hulp erbij halen, samenwerken en adviseren.</w:t>
            </w:r>
          </w:p>
          <w:p w:rsidR="00D96F33" w:rsidRDefault="00D96F33" w:rsidP="001434D1">
            <w:pPr>
              <w:pStyle w:val="Lijstalinea"/>
            </w:pPr>
            <w:r>
              <w:t xml:space="preserve">Bij ieder contact wordt ook gekeken naar de specifieke omstandigheden van de jeugdige en zijn gezin/omgeving. Bij elke activiteit is het van belang om te beoordelen welke vorm past. </w:t>
            </w:r>
          </w:p>
          <w:p w:rsidR="00D96F33" w:rsidRPr="003542F3" w:rsidRDefault="00D96F33" w:rsidP="00FB727F">
            <w:pPr>
              <w:pStyle w:val="Lijstalinea"/>
              <w:numPr>
                <w:ilvl w:val="0"/>
                <w:numId w:val="62"/>
              </w:numPr>
              <w:ind w:left="294" w:hanging="284"/>
            </w:pPr>
            <w:r>
              <w:t xml:space="preserve">Vanuit een succesvol project vanaf 2017 en verder structurele inzet jeugdarts voor MBO studenten 18-23 jaar in de hele regio. </w:t>
            </w:r>
          </w:p>
        </w:tc>
        <w:tc>
          <w:tcPr>
            <w:tcW w:w="3947" w:type="dxa"/>
            <w:vMerge w:val="restart"/>
            <w:shd w:val="clear" w:color="auto" w:fill="auto"/>
          </w:tcPr>
          <w:p w:rsidR="00D96F33" w:rsidRDefault="00D96F33" w:rsidP="001434D1">
            <w:r>
              <w:t>(Ervaren gezondheid)</w:t>
            </w:r>
          </w:p>
          <w:p w:rsidR="00D96F33" w:rsidRDefault="00D96F33" w:rsidP="001434D1">
            <w:r>
              <w:t>Gezonde kinderen met gelijkwaardige kansen en optimale ontwikkeling.</w:t>
            </w:r>
          </w:p>
          <w:p w:rsidR="00D96F33" w:rsidRDefault="00D96F33" w:rsidP="001434D1"/>
          <w:p w:rsidR="00D96F33" w:rsidRPr="003542F3" w:rsidRDefault="00D96F33" w:rsidP="001434D1"/>
        </w:tc>
      </w:tr>
      <w:tr w:rsidR="00D96F33" w:rsidRPr="003542F3" w:rsidTr="001434D1">
        <w:tc>
          <w:tcPr>
            <w:tcW w:w="2221" w:type="dxa"/>
            <w:vMerge/>
            <w:shd w:val="clear" w:color="auto" w:fill="auto"/>
          </w:tcPr>
          <w:p w:rsidR="00D96F33" w:rsidRPr="003542F3" w:rsidRDefault="00D96F33" w:rsidP="001434D1"/>
        </w:tc>
        <w:tc>
          <w:tcPr>
            <w:tcW w:w="2973" w:type="dxa"/>
            <w:shd w:val="clear" w:color="auto" w:fill="auto"/>
          </w:tcPr>
          <w:p w:rsidR="00D96F33" w:rsidRPr="003542F3" w:rsidRDefault="00D96F33" w:rsidP="001434D1">
            <w:r>
              <w:t>Uitvoeren Rijksvaccinatie</w:t>
            </w:r>
            <w:r w:rsidR="005615F6">
              <w:softHyphen/>
            </w:r>
            <w:r>
              <w:t>programma (vaccinatiegraad 97%)</w:t>
            </w:r>
          </w:p>
        </w:tc>
        <w:tc>
          <w:tcPr>
            <w:tcW w:w="6474" w:type="dxa"/>
            <w:shd w:val="clear" w:color="auto" w:fill="auto"/>
          </w:tcPr>
          <w:p w:rsidR="00D96F33" w:rsidRPr="003542F3" w:rsidRDefault="00D96F33" w:rsidP="00FB727F">
            <w:pPr>
              <w:pStyle w:val="Lijstalinea"/>
              <w:numPr>
                <w:ilvl w:val="0"/>
                <w:numId w:val="17"/>
              </w:numPr>
            </w:pPr>
            <w:r>
              <w:t>Alle kinderen krijgen een aanbod om gevaccineerd te worden.</w:t>
            </w:r>
          </w:p>
        </w:tc>
        <w:tc>
          <w:tcPr>
            <w:tcW w:w="3947" w:type="dxa"/>
            <w:vMerge/>
            <w:shd w:val="clear" w:color="auto" w:fill="auto"/>
          </w:tcPr>
          <w:p w:rsidR="00D96F33" w:rsidRPr="003542F3" w:rsidRDefault="00D96F33" w:rsidP="001434D1"/>
        </w:tc>
      </w:tr>
      <w:tr w:rsidR="00D96F33" w:rsidRPr="003542F3" w:rsidTr="001434D1">
        <w:tc>
          <w:tcPr>
            <w:tcW w:w="2221" w:type="dxa"/>
            <w:vMerge/>
            <w:shd w:val="clear" w:color="auto" w:fill="auto"/>
          </w:tcPr>
          <w:p w:rsidR="00D96F33" w:rsidRPr="003542F3" w:rsidRDefault="00D96F33" w:rsidP="001434D1"/>
        </w:tc>
        <w:tc>
          <w:tcPr>
            <w:tcW w:w="2973" w:type="dxa"/>
            <w:shd w:val="clear" w:color="auto" w:fill="auto"/>
          </w:tcPr>
          <w:p w:rsidR="00D96F33" w:rsidRDefault="00D96F33" w:rsidP="001434D1">
            <w:r>
              <w:t>Samen met ketenpartners de beste zorg voor het kind te realiseren</w:t>
            </w:r>
          </w:p>
        </w:tc>
        <w:tc>
          <w:tcPr>
            <w:tcW w:w="6474" w:type="dxa"/>
            <w:shd w:val="clear" w:color="auto" w:fill="auto"/>
          </w:tcPr>
          <w:p w:rsidR="00D96F33" w:rsidRDefault="00D96F33" w:rsidP="00FB727F">
            <w:pPr>
              <w:pStyle w:val="Lijstalinea"/>
              <w:numPr>
                <w:ilvl w:val="0"/>
                <w:numId w:val="17"/>
              </w:numPr>
            </w:pPr>
            <w:r>
              <w:t>Participeren in Centra voor Jeugd en Gezin (CJG)</w:t>
            </w:r>
          </w:p>
          <w:p w:rsidR="00D96F33" w:rsidRDefault="00D96F33" w:rsidP="00FB727F">
            <w:pPr>
              <w:pStyle w:val="Lijstalinea"/>
              <w:numPr>
                <w:ilvl w:val="0"/>
                <w:numId w:val="17"/>
              </w:numPr>
            </w:pPr>
            <w:r>
              <w:t xml:space="preserve">Participeren in multidisciplinaire netwerken (bijvoorbeeld </w:t>
            </w:r>
            <w:proofErr w:type="spellStart"/>
            <w:r>
              <w:t>Kindercare</w:t>
            </w:r>
            <w:proofErr w:type="spellEnd"/>
            <w:r>
              <w:t xml:space="preserve">, Zorg Advies Team (ZAT 0-4 en 4-18 ), </w:t>
            </w:r>
            <w:r>
              <w:lastRenderedPageBreak/>
              <w:t>buurtnetwerken en kinderen die opvallen)</w:t>
            </w:r>
          </w:p>
        </w:tc>
        <w:tc>
          <w:tcPr>
            <w:tcW w:w="3947" w:type="dxa"/>
            <w:vMerge/>
            <w:shd w:val="clear" w:color="auto" w:fill="auto"/>
          </w:tcPr>
          <w:p w:rsidR="00D96F33" w:rsidRPr="003542F3" w:rsidRDefault="00D96F33" w:rsidP="001434D1"/>
        </w:tc>
      </w:tr>
      <w:tr w:rsidR="00D96F33" w:rsidRPr="003542F3" w:rsidTr="001434D1">
        <w:tc>
          <w:tcPr>
            <w:tcW w:w="2221" w:type="dxa"/>
            <w:vMerge/>
            <w:shd w:val="clear" w:color="auto" w:fill="auto"/>
          </w:tcPr>
          <w:p w:rsidR="00D96F33" w:rsidRPr="003542F3" w:rsidRDefault="00D96F33" w:rsidP="001434D1"/>
        </w:tc>
        <w:tc>
          <w:tcPr>
            <w:tcW w:w="2973" w:type="dxa"/>
            <w:shd w:val="clear" w:color="auto" w:fill="auto"/>
          </w:tcPr>
          <w:p w:rsidR="00D96F33" w:rsidRPr="003542F3" w:rsidRDefault="00D96F33" w:rsidP="001434D1">
            <w:r>
              <w:t>Inhaalslag statushouders en asielzoekers (opgedragen taak)</w:t>
            </w:r>
          </w:p>
        </w:tc>
        <w:tc>
          <w:tcPr>
            <w:tcW w:w="6474" w:type="dxa"/>
            <w:shd w:val="clear" w:color="auto" w:fill="auto"/>
          </w:tcPr>
          <w:p w:rsidR="00D96F33" w:rsidRDefault="00D96F33" w:rsidP="00FB727F">
            <w:pPr>
              <w:pStyle w:val="Lijstalinea"/>
              <w:numPr>
                <w:ilvl w:val="0"/>
                <w:numId w:val="63"/>
              </w:numPr>
              <w:autoSpaceDE w:val="0"/>
              <w:autoSpaceDN w:val="0"/>
            </w:pPr>
            <w:r>
              <w:t>Aan kinderen van statushouders en asielzoekers worden de contactmomenten aangeboden, zoals opgenomen in het basispakket (landelijk professioneel kader) JGZ 0-18 jaar. Ook wordt het Rijksvaccinatieprogramma (RVP) aangeboden</w:t>
            </w:r>
          </w:p>
          <w:p w:rsidR="00D96F33" w:rsidRPr="003542F3" w:rsidRDefault="00D96F33" w:rsidP="00FB727F">
            <w:pPr>
              <w:pStyle w:val="Lijstalinea"/>
              <w:numPr>
                <w:ilvl w:val="0"/>
                <w:numId w:val="63"/>
              </w:numPr>
              <w:autoSpaceDE w:val="0"/>
              <w:autoSpaceDN w:val="0"/>
            </w:pPr>
            <w:r>
              <w:t>Vluchtelingenkinderen en gezinnen hebben vaak een periode gekend waarin weinig tot geen aandacht was voor (preventieve) gezondheid. Veelal zal vanuit JGZ een inhaalslag nodig zijn om verdere problemen te kunnen voorkomen</w:t>
            </w:r>
          </w:p>
        </w:tc>
        <w:tc>
          <w:tcPr>
            <w:tcW w:w="3947" w:type="dxa"/>
            <w:vMerge/>
            <w:shd w:val="clear" w:color="auto" w:fill="auto"/>
          </w:tcPr>
          <w:p w:rsidR="00D96F33" w:rsidRPr="003542F3" w:rsidRDefault="00D96F33" w:rsidP="001434D1"/>
        </w:tc>
      </w:tr>
      <w:tr w:rsidR="00D96F33" w:rsidRPr="003542F3" w:rsidTr="001434D1">
        <w:tc>
          <w:tcPr>
            <w:tcW w:w="15615" w:type="dxa"/>
            <w:gridSpan w:val="4"/>
            <w:shd w:val="clear" w:color="auto" w:fill="auto"/>
          </w:tcPr>
          <w:p w:rsidR="00D96F33" w:rsidRPr="003542F3" w:rsidRDefault="00D96F33" w:rsidP="001434D1"/>
        </w:tc>
      </w:tr>
      <w:tr w:rsidR="00D96F33" w:rsidRPr="003542F3" w:rsidTr="001434D1">
        <w:tc>
          <w:tcPr>
            <w:tcW w:w="2221" w:type="dxa"/>
            <w:vMerge w:val="restart"/>
            <w:shd w:val="clear" w:color="auto" w:fill="auto"/>
          </w:tcPr>
          <w:p w:rsidR="00D96F33" w:rsidRPr="003542F3" w:rsidRDefault="00D96F33" w:rsidP="001434D1">
            <w:r>
              <w:t>Proactief inspelen op behoeften van gemeenten en ouders op het gebied van jeugdgezondheidszorg</w:t>
            </w:r>
          </w:p>
        </w:tc>
        <w:tc>
          <w:tcPr>
            <w:tcW w:w="2973" w:type="dxa"/>
            <w:shd w:val="clear" w:color="auto" w:fill="auto"/>
          </w:tcPr>
          <w:p w:rsidR="00D96F33" w:rsidRPr="003542F3" w:rsidRDefault="00D96F33" w:rsidP="001434D1">
            <w:r>
              <w:t>Uitvoeren subsidietaken</w:t>
            </w:r>
          </w:p>
        </w:tc>
        <w:tc>
          <w:tcPr>
            <w:tcW w:w="6474" w:type="dxa"/>
            <w:shd w:val="clear" w:color="auto" w:fill="auto"/>
          </w:tcPr>
          <w:p w:rsidR="00D96F33" w:rsidRDefault="00D96F33" w:rsidP="00FB727F">
            <w:pPr>
              <w:pStyle w:val="Lijstalinea"/>
              <w:numPr>
                <w:ilvl w:val="0"/>
                <w:numId w:val="65"/>
              </w:numPr>
            </w:pPr>
            <w:r>
              <w:t>Subsidietaken worden jaarlijks vastgesteld en uitgevoerd. Onder andere:</w:t>
            </w:r>
          </w:p>
          <w:p w:rsidR="00D96F33" w:rsidRDefault="005615F6" w:rsidP="00FB727F">
            <w:pPr>
              <w:pStyle w:val="Lijstalinea"/>
              <w:numPr>
                <w:ilvl w:val="1"/>
                <w:numId w:val="15"/>
              </w:numPr>
              <w:ind w:left="708" w:hanging="283"/>
            </w:pPr>
            <w:r>
              <w:t xml:space="preserve">Logopedie </w:t>
            </w:r>
            <w:r w:rsidR="00D96F33">
              <w:t>Heemskerk en Beverwijk (</w:t>
            </w:r>
            <w:r w:rsidR="003C4AB3">
              <w:t xml:space="preserve">onder voorbehoud nader </w:t>
            </w:r>
            <w:r>
              <w:t>overleg</w:t>
            </w:r>
            <w:r w:rsidR="003C4AB3">
              <w:t>)</w:t>
            </w:r>
          </w:p>
          <w:p w:rsidR="003C4AB3" w:rsidRPr="003D6722" w:rsidRDefault="003C4AB3" w:rsidP="003C4AB3">
            <w:pPr>
              <w:pStyle w:val="Lijstalinea"/>
              <w:numPr>
                <w:ilvl w:val="1"/>
                <w:numId w:val="15"/>
              </w:numPr>
              <w:ind w:left="714" w:hanging="278"/>
            </w:pPr>
            <w:r w:rsidRPr="003D6722">
              <w:t>Uitvoeren</w:t>
            </w:r>
            <w:r>
              <w:t xml:space="preserve"> </w:t>
            </w:r>
            <w:r w:rsidRPr="003D6722">
              <w:t xml:space="preserve">logopedie </w:t>
            </w:r>
            <w:r>
              <w:t xml:space="preserve">Haarlemmermeer </w:t>
            </w:r>
            <w:r w:rsidRPr="003D6722">
              <w:t>(</w:t>
            </w:r>
            <w:proofErr w:type="spellStart"/>
            <w:r w:rsidRPr="003D6722">
              <w:t>sneltest</w:t>
            </w:r>
            <w:proofErr w:type="spellEnd"/>
            <w:r w:rsidRPr="003D6722">
              <w:t>)</w:t>
            </w:r>
          </w:p>
          <w:p w:rsidR="00D96F33" w:rsidRDefault="00D96F33" w:rsidP="00FB727F">
            <w:pPr>
              <w:pStyle w:val="Lijstalinea"/>
              <w:numPr>
                <w:ilvl w:val="1"/>
                <w:numId w:val="15"/>
              </w:numPr>
              <w:ind w:left="708" w:hanging="283"/>
            </w:pPr>
            <w:r>
              <w:t>Stevig ouderschap</w:t>
            </w:r>
          </w:p>
          <w:p w:rsidR="00D96F33" w:rsidRDefault="00D96F33" w:rsidP="00FB727F">
            <w:pPr>
              <w:pStyle w:val="Lijstalinea"/>
              <w:numPr>
                <w:ilvl w:val="1"/>
                <w:numId w:val="15"/>
              </w:numPr>
              <w:ind w:left="714" w:hanging="278"/>
            </w:pPr>
            <w:r>
              <w:t>Kinderen die opvallen</w:t>
            </w:r>
          </w:p>
          <w:p w:rsidR="00D96F33" w:rsidRPr="003D6722" w:rsidRDefault="00D96F33" w:rsidP="00FB727F">
            <w:pPr>
              <w:pStyle w:val="Lijstalinea"/>
              <w:numPr>
                <w:ilvl w:val="1"/>
                <w:numId w:val="15"/>
              </w:numPr>
              <w:ind w:left="714" w:hanging="278"/>
            </w:pPr>
            <w:r w:rsidRPr="003D6722">
              <w:t>Babygroepen</w:t>
            </w:r>
          </w:p>
          <w:p w:rsidR="00D96F33" w:rsidRPr="003D6722" w:rsidRDefault="00D96F33" w:rsidP="00FB727F">
            <w:pPr>
              <w:pStyle w:val="Lijstalinea"/>
              <w:numPr>
                <w:ilvl w:val="1"/>
                <w:numId w:val="15"/>
              </w:numPr>
              <w:ind w:left="714" w:hanging="278"/>
            </w:pPr>
            <w:r w:rsidRPr="003D6722">
              <w:t>Opvoedcursussen en trainingen</w:t>
            </w:r>
          </w:p>
          <w:p w:rsidR="00D96F33" w:rsidRPr="003D6722" w:rsidRDefault="00D96F33" w:rsidP="00FB727F">
            <w:pPr>
              <w:pStyle w:val="Lijstalinea"/>
              <w:numPr>
                <w:ilvl w:val="1"/>
                <w:numId w:val="15"/>
              </w:numPr>
              <w:ind w:left="714" w:hanging="278"/>
            </w:pPr>
            <w:r w:rsidRPr="003D6722">
              <w:t>Multidisciplinaire netwerken met ouders aan tafel</w:t>
            </w:r>
          </w:p>
          <w:p w:rsidR="00D96F33" w:rsidRPr="003D6722" w:rsidRDefault="00D96F33" w:rsidP="00FB727F">
            <w:pPr>
              <w:pStyle w:val="Lijstalinea"/>
              <w:numPr>
                <w:ilvl w:val="1"/>
                <w:numId w:val="15"/>
              </w:numPr>
              <w:ind w:left="714" w:hanging="278"/>
            </w:pPr>
            <w:r w:rsidRPr="003D6722">
              <w:t xml:space="preserve">Gedetacheerde medewerkers in het </w:t>
            </w:r>
            <w:proofErr w:type="spellStart"/>
            <w:r w:rsidRPr="003D6722">
              <w:t>Meerteam</w:t>
            </w:r>
            <w:proofErr w:type="spellEnd"/>
            <w:r w:rsidRPr="003D6722">
              <w:t xml:space="preserve"> en het CJG team(advies en informatie)</w:t>
            </w:r>
          </w:p>
          <w:p w:rsidR="00D96F33" w:rsidRPr="003542F3" w:rsidRDefault="00D96F33" w:rsidP="00FB727F">
            <w:pPr>
              <w:pStyle w:val="Lijstalinea"/>
              <w:numPr>
                <w:ilvl w:val="1"/>
                <w:numId w:val="15"/>
              </w:numPr>
              <w:ind w:left="714" w:hanging="278"/>
            </w:pPr>
            <w:r w:rsidRPr="003D6722">
              <w:t>Verstevigen samenwerking jeugdarts en huisarts</w:t>
            </w:r>
          </w:p>
        </w:tc>
        <w:tc>
          <w:tcPr>
            <w:tcW w:w="3947" w:type="dxa"/>
            <w:vMerge w:val="restart"/>
            <w:shd w:val="clear" w:color="auto" w:fill="auto"/>
          </w:tcPr>
          <w:p w:rsidR="00D96F33" w:rsidRDefault="00D96F33" w:rsidP="001434D1"/>
          <w:p w:rsidR="00D96F33" w:rsidRPr="003542F3" w:rsidRDefault="00D96F33" w:rsidP="001434D1"/>
        </w:tc>
      </w:tr>
      <w:tr w:rsidR="00D96F33" w:rsidRPr="003542F3" w:rsidTr="001434D1">
        <w:tc>
          <w:tcPr>
            <w:tcW w:w="2221" w:type="dxa"/>
            <w:vMerge/>
            <w:shd w:val="clear" w:color="auto" w:fill="auto"/>
          </w:tcPr>
          <w:p w:rsidR="00D96F33" w:rsidRDefault="00D96F33" w:rsidP="001434D1"/>
        </w:tc>
        <w:tc>
          <w:tcPr>
            <w:tcW w:w="2973" w:type="dxa"/>
            <w:shd w:val="clear" w:color="auto" w:fill="auto"/>
          </w:tcPr>
          <w:p w:rsidR="00D96F33" w:rsidRDefault="00D96F33" w:rsidP="001434D1">
            <w:r>
              <w:t>Efficiënt inzetten van zorg</w:t>
            </w:r>
          </w:p>
        </w:tc>
        <w:tc>
          <w:tcPr>
            <w:tcW w:w="6474" w:type="dxa"/>
            <w:shd w:val="clear" w:color="auto" w:fill="auto"/>
          </w:tcPr>
          <w:p w:rsidR="00D96F33" w:rsidRDefault="00D96F33" w:rsidP="00FB727F">
            <w:pPr>
              <w:pStyle w:val="Lijstalinea"/>
              <w:numPr>
                <w:ilvl w:val="0"/>
                <w:numId w:val="64"/>
              </w:numPr>
            </w:pPr>
            <w:r>
              <w:t>Voorkomen dat jongeren te laat of onterecht worden doorverwezen naar zwaardere en duurdere vormen van zorg (normaliseren door inzet van triple op huisbezoeken en consulten)</w:t>
            </w:r>
          </w:p>
        </w:tc>
        <w:tc>
          <w:tcPr>
            <w:tcW w:w="3947" w:type="dxa"/>
            <w:vMerge/>
            <w:shd w:val="clear" w:color="auto" w:fill="auto"/>
          </w:tcPr>
          <w:p w:rsidR="00D96F33" w:rsidRDefault="00D96F33" w:rsidP="001434D1"/>
        </w:tc>
      </w:tr>
      <w:tr w:rsidR="00D96F33" w:rsidRPr="003542F3" w:rsidTr="001434D1">
        <w:tc>
          <w:tcPr>
            <w:tcW w:w="2221" w:type="dxa"/>
            <w:vMerge/>
            <w:shd w:val="clear" w:color="auto" w:fill="auto"/>
          </w:tcPr>
          <w:p w:rsidR="00D96F33" w:rsidRPr="003542F3" w:rsidRDefault="00D96F33" w:rsidP="001434D1"/>
        </w:tc>
        <w:tc>
          <w:tcPr>
            <w:tcW w:w="2973" w:type="dxa"/>
            <w:shd w:val="clear" w:color="auto" w:fill="auto"/>
          </w:tcPr>
          <w:p w:rsidR="00D96F33" w:rsidRPr="003D6722" w:rsidRDefault="00D96F33" w:rsidP="001434D1">
            <w:r w:rsidRPr="003D6722">
              <w:t>Verbeteren digitale toegankelijkheid</w:t>
            </w:r>
          </w:p>
        </w:tc>
        <w:tc>
          <w:tcPr>
            <w:tcW w:w="6474" w:type="dxa"/>
            <w:shd w:val="clear" w:color="auto" w:fill="auto"/>
          </w:tcPr>
          <w:p w:rsidR="00D96F33" w:rsidRPr="003D6722" w:rsidRDefault="00D96F33" w:rsidP="0074519C">
            <w:pPr>
              <w:pStyle w:val="Lijstalinea"/>
              <w:numPr>
                <w:ilvl w:val="0"/>
                <w:numId w:val="18"/>
              </w:numPr>
            </w:pPr>
            <w:r w:rsidRPr="003D6722">
              <w:t xml:space="preserve">Serviceportaal voor ouders: online JGZ (bijv. inzien dossier eigen kind en zelf </w:t>
            </w:r>
            <w:r w:rsidR="0074519C">
              <w:t>inplannen</w:t>
            </w:r>
            <w:r w:rsidR="0074519C" w:rsidRPr="003D6722">
              <w:t xml:space="preserve"> </w:t>
            </w:r>
            <w:r w:rsidRPr="003D6722">
              <w:t>van afspr</w:t>
            </w:r>
            <w:r w:rsidR="0074519C">
              <w:t>a</w:t>
            </w:r>
            <w:r w:rsidRPr="003D6722">
              <w:t xml:space="preserve">ak) </w:t>
            </w:r>
          </w:p>
        </w:tc>
        <w:tc>
          <w:tcPr>
            <w:tcW w:w="3947" w:type="dxa"/>
            <w:vMerge/>
            <w:shd w:val="clear" w:color="auto" w:fill="auto"/>
          </w:tcPr>
          <w:p w:rsidR="00D96F33" w:rsidRPr="003542F3" w:rsidRDefault="00D96F33" w:rsidP="001434D1"/>
        </w:tc>
      </w:tr>
      <w:tr w:rsidR="00D96F33" w:rsidRPr="003542F3" w:rsidTr="001434D1">
        <w:tc>
          <w:tcPr>
            <w:tcW w:w="15615" w:type="dxa"/>
            <w:gridSpan w:val="4"/>
            <w:shd w:val="clear" w:color="auto" w:fill="auto"/>
          </w:tcPr>
          <w:p w:rsidR="00D96F33" w:rsidRPr="003542F3" w:rsidRDefault="00D96F33" w:rsidP="001434D1"/>
        </w:tc>
      </w:tr>
      <w:tr w:rsidR="00D96F33" w:rsidRPr="003542F3" w:rsidTr="001434D1">
        <w:tc>
          <w:tcPr>
            <w:tcW w:w="2221" w:type="dxa"/>
            <w:shd w:val="clear" w:color="auto" w:fill="auto"/>
          </w:tcPr>
          <w:p w:rsidR="00D96F33" w:rsidRPr="003542F3" w:rsidRDefault="00D96F33" w:rsidP="001434D1">
            <w:r>
              <w:lastRenderedPageBreak/>
              <w:t>Behouden en verstevigen van de unieke kennis-positie op het gebied van jeugdgezondheid</w:t>
            </w:r>
          </w:p>
        </w:tc>
        <w:tc>
          <w:tcPr>
            <w:tcW w:w="2973" w:type="dxa"/>
            <w:shd w:val="clear" w:color="auto" w:fill="auto"/>
          </w:tcPr>
          <w:p w:rsidR="00D96F33" w:rsidRPr="003542F3" w:rsidRDefault="00D96F33" w:rsidP="001434D1">
            <w:r>
              <w:t>Voortdurend ontwikkelen van kennis en professionaliteit op basis van beroepspraktijk, veranderingen in het zorglandschap en veranderingen in de maatschappij.</w:t>
            </w:r>
          </w:p>
        </w:tc>
        <w:tc>
          <w:tcPr>
            <w:tcW w:w="6474" w:type="dxa"/>
            <w:shd w:val="clear" w:color="auto" w:fill="auto"/>
          </w:tcPr>
          <w:p w:rsidR="00D96F33" w:rsidRDefault="00D96F33" w:rsidP="00FB727F">
            <w:pPr>
              <w:pStyle w:val="Lijstalinea"/>
              <w:numPr>
                <w:ilvl w:val="0"/>
                <w:numId w:val="14"/>
              </w:numPr>
            </w:pPr>
            <w:r>
              <w:t>i</w:t>
            </w:r>
            <w:r w:rsidRPr="006B2692">
              <w:t>nspelen op nieuwe gezondheidsv</w:t>
            </w:r>
            <w:r>
              <w:t>raagstukken</w:t>
            </w:r>
          </w:p>
          <w:p w:rsidR="00D96F33" w:rsidRPr="006B2692" w:rsidRDefault="00D96F33" w:rsidP="00FB727F">
            <w:pPr>
              <w:pStyle w:val="Lijstalinea"/>
              <w:numPr>
                <w:ilvl w:val="0"/>
                <w:numId w:val="14"/>
              </w:numPr>
            </w:pPr>
            <w:r>
              <w:t>deelname aan het innovatieatelier (NCJ)</w:t>
            </w:r>
          </w:p>
          <w:p w:rsidR="00D96F33" w:rsidRPr="006B2692" w:rsidRDefault="00D96F33" w:rsidP="00FB727F">
            <w:pPr>
              <w:pStyle w:val="Geenafstand"/>
              <w:numPr>
                <w:ilvl w:val="0"/>
                <w:numId w:val="14"/>
              </w:numPr>
            </w:pPr>
            <w:r>
              <w:t>d</w:t>
            </w:r>
            <w:r w:rsidRPr="006B2692">
              <w:t>eelname aan academische werkplaats, samenwerking met universiteiten op het gebied van onderzoek</w:t>
            </w:r>
          </w:p>
          <w:p w:rsidR="00D96F33" w:rsidRPr="006B2692" w:rsidRDefault="00D96F33" w:rsidP="00FB727F">
            <w:pPr>
              <w:pStyle w:val="Lijstalinea"/>
              <w:numPr>
                <w:ilvl w:val="0"/>
                <w:numId w:val="14"/>
              </w:numPr>
            </w:pPr>
            <w:r>
              <w:t xml:space="preserve">gezondheidsatlas; gezondheidsinformatie over jeugd digitaal beschikbaar stellen </w:t>
            </w:r>
            <w:r w:rsidRPr="006B2692">
              <w:t>(</w:t>
            </w:r>
            <w:r>
              <w:t>vanuit bijvoorbeeld</w:t>
            </w:r>
            <w:r w:rsidRPr="006B2692">
              <w:t xml:space="preserve"> kindermonitor, </w:t>
            </w:r>
            <w:r w:rsidRPr="00527395">
              <w:t>EMOVO</w:t>
            </w:r>
            <w:r w:rsidRPr="006B2692">
              <w:t>)</w:t>
            </w:r>
          </w:p>
          <w:p w:rsidR="00D96F33" w:rsidRPr="003542F3" w:rsidRDefault="00D96F33" w:rsidP="00FB727F">
            <w:pPr>
              <w:pStyle w:val="Lijstalinea"/>
              <w:numPr>
                <w:ilvl w:val="0"/>
                <w:numId w:val="14"/>
              </w:numPr>
            </w:pPr>
            <w:r>
              <w:t>a</w:t>
            </w:r>
            <w:r w:rsidRPr="006B2692">
              <w:t>dviseren gemeenten over beleid jeugd en gezondheid</w:t>
            </w:r>
          </w:p>
        </w:tc>
        <w:tc>
          <w:tcPr>
            <w:tcW w:w="3947" w:type="dxa"/>
            <w:shd w:val="clear" w:color="auto" w:fill="auto"/>
          </w:tcPr>
          <w:p w:rsidR="00D96F33" w:rsidRPr="003542F3" w:rsidRDefault="00D96F33" w:rsidP="001434D1"/>
        </w:tc>
      </w:tr>
    </w:tbl>
    <w:p w:rsidR="004154DF" w:rsidRPr="003542F3" w:rsidRDefault="004154DF" w:rsidP="004154DF">
      <w:pPr>
        <w:rPr>
          <w:b/>
        </w:rPr>
        <w:sectPr w:rsidR="004154DF" w:rsidRPr="003542F3" w:rsidSect="00BF0184">
          <w:pgSz w:w="16838" w:h="11906" w:orient="landscape"/>
          <w:pgMar w:top="1417" w:right="1417" w:bottom="1417" w:left="1417" w:header="708" w:footer="708" w:gutter="0"/>
          <w:cols w:space="708"/>
          <w:docGrid w:linePitch="360"/>
        </w:sectPr>
      </w:pPr>
      <w:r>
        <w:rPr>
          <w:b/>
        </w:rPr>
        <w:tab/>
      </w:r>
      <w:r>
        <w:rPr>
          <w:b/>
        </w:rPr>
        <w:tab/>
      </w:r>
      <w:r>
        <w:rPr>
          <w:b/>
        </w:rPr>
        <w:tab/>
      </w:r>
      <w:r>
        <w:rPr>
          <w:b/>
        </w:rPr>
        <w:tab/>
      </w:r>
    </w:p>
    <w:p w:rsidR="004154DF" w:rsidRPr="003542F3" w:rsidRDefault="004154DF" w:rsidP="004154DF">
      <w:pPr>
        <w:rPr>
          <w:b/>
        </w:rPr>
      </w:pPr>
      <w:r w:rsidRPr="003542F3">
        <w:rPr>
          <w:b/>
        </w:rPr>
        <w:lastRenderedPageBreak/>
        <w:t>Wat mag het kosten?</w:t>
      </w:r>
    </w:p>
    <w:p w:rsidR="00381D82" w:rsidRDefault="00691BED" w:rsidP="004154DF">
      <w:pPr>
        <w:rPr>
          <w:b/>
        </w:rPr>
      </w:pPr>
      <w:r w:rsidRPr="00691BED">
        <w:rPr>
          <w:noProof/>
          <w:lang w:eastAsia="nl-NL"/>
        </w:rPr>
        <w:drawing>
          <wp:inline distT="0" distB="0" distL="0" distR="0" wp14:anchorId="3D7A448D" wp14:editId="16A49D75">
            <wp:extent cx="5760720" cy="4642968"/>
            <wp:effectExtent l="0" t="0" r="0" b="5715"/>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642968"/>
                    </a:xfrm>
                    <a:prstGeom prst="rect">
                      <a:avLst/>
                    </a:prstGeom>
                    <a:noFill/>
                    <a:ln>
                      <a:noFill/>
                    </a:ln>
                  </pic:spPr>
                </pic:pic>
              </a:graphicData>
            </a:graphic>
          </wp:inline>
        </w:drawing>
      </w:r>
    </w:p>
    <w:p w:rsidR="00691BED" w:rsidRDefault="00A44899" w:rsidP="004154DF">
      <w:pPr>
        <w:rPr>
          <w:b/>
        </w:rPr>
      </w:pPr>
      <w:r w:rsidRPr="00A44899">
        <w:rPr>
          <w:noProof/>
          <w:lang w:eastAsia="nl-NL"/>
        </w:rPr>
        <w:drawing>
          <wp:inline distT="0" distB="0" distL="0" distR="0">
            <wp:extent cx="5448300" cy="27146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48300" cy="2714625"/>
                    </a:xfrm>
                    <a:prstGeom prst="rect">
                      <a:avLst/>
                    </a:prstGeom>
                    <a:noFill/>
                    <a:ln>
                      <a:noFill/>
                    </a:ln>
                  </pic:spPr>
                </pic:pic>
              </a:graphicData>
            </a:graphic>
          </wp:inline>
        </w:drawing>
      </w:r>
    </w:p>
    <w:p w:rsidR="00691BED" w:rsidRPr="00C3012A" w:rsidRDefault="00691BED" w:rsidP="004154DF">
      <w:pPr>
        <w:rPr>
          <w:b/>
        </w:rPr>
      </w:pPr>
    </w:p>
    <w:p w:rsidR="00481182" w:rsidRPr="00481182" w:rsidRDefault="00481182" w:rsidP="00481182"/>
    <w:p w:rsidR="00546C4B" w:rsidRDefault="0033324F" w:rsidP="006C1392">
      <w:pPr>
        <w:pStyle w:val="Kop2"/>
      </w:pPr>
      <w:r w:rsidRPr="003542F3">
        <w:br w:type="page"/>
      </w:r>
      <w:bookmarkStart w:id="11" w:name="_Toc478655806"/>
      <w:r w:rsidR="006C1392">
        <w:lastRenderedPageBreak/>
        <w:t>2.3</w:t>
      </w:r>
      <w:r w:rsidR="005615F6">
        <w:t xml:space="preserve"> </w:t>
      </w:r>
      <w:r w:rsidR="004D2961">
        <w:t xml:space="preserve">Programma </w:t>
      </w:r>
      <w:r w:rsidR="00546C4B">
        <w:t>Brandweerzorg</w:t>
      </w:r>
      <w:bookmarkEnd w:id="11"/>
    </w:p>
    <w:p w:rsidR="00546C4B" w:rsidRDefault="00546C4B" w:rsidP="00AD0BBB">
      <w:pPr>
        <w:pStyle w:val="Geenafstand"/>
      </w:pPr>
    </w:p>
    <w:p w:rsidR="00433839" w:rsidRPr="00433839" w:rsidRDefault="00433839" w:rsidP="00433839">
      <w:pPr>
        <w:spacing w:after="0" w:line="240" w:lineRule="auto"/>
        <w:rPr>
          <w:b/>
        </w:rPr>
      </w:pPr>
      <w:r w:rsidRPr="00433839">
        <w:rPr>
          <w:b/>
        </w:rPr>
        <w:t>Ambitie van het programma</w:t>
      </w:r>
    </w:p>
    <w:p w:rsidR="00977084" w:rsidRDefault="00977084" w:rsidP="00977084">
      <w:r>
        <w:t>Brandweer Kennemerland staat voor de opdracht om te komen tot minder branden, minder schade en minder slachtoffers. Daarin sluit Brandweer Kennemerland aan bij de Landelijk vastgestelde Visie ‘</w:t>
      </w:r>
      <w:proofErr w:type="spellStart"/>
      <w:r>
        <w:t>RemBrand</w:t>
      </w:r>
      <w:proofErr w:type="spellEnd"/>
      <w:r>
        <w:t>’. Om dat doel te bereiken wordt ingezet op branden voorkomen én branden te beperken. Voor wat betreft dit laatste valt er nog veel werk te verzetten met name door het creëren van bewustwording over het belang van snelle melding bij rook en brand. Hier valt nog veel ‘winst’ te behalen.</w:t>
      </w:r>
    </w:p>
    <w:p w:rsidR="00977084" w:rsidRDefault="00977084" w:rsidP="00977084">
      <w:r>
        <w:t>Om deze winst te behalen werkt de brandweer samen met veel partners op lokaal, regionaal, landelijk en internationaal niveau. Waargenomen wordt dat de hulpvraag om publieke taken in toenemende mate door overheid, burgers, ondernemers, marktpartijen en maatschappelijke organisaties in gemeenschappelijkheid opgepakt wordt. Immers iedere partner heeft en neemt (in toenemende mate) een eigen verantwoordelijkheid als het gaat om brandveiligheid. In de voorliggende programmabegroting wordt daarom nadrukkelijk aandacht besteed aan de ontwikkeling van de informatiepositie en de aanhaking met de partners (netwerkorganisatie). Brandweer Kennemerland levert ook een bijdrage aan de beroepsmatige ontwikkelingen op landelijk, interregionaal en lokaal niveau. Met behulp van nieuwe inzichten en technieken beoogt Brandweer Kennemerland om de kwaliteit van de incidentbestrijding continue te verbeteren.</w:t>
      </w:r>
    </w:p>
    <w:p w:rsidR="00977084" w:rsidRPr="00450AC5" w:rsidRDefault="00977084" w:rsidP="00977084">
      <w:pPr>
        <w:pStyle w:val="Geenafstand"/>
        <w:rPr>
          <w:b/>
          <w:color w:val="984806" w:themeColor="accent6" w:themeShade="80"/>
        </w:rPr>
      </w:pPr>
      <w:r w:rsidRPr="00450AC5">
        <w:rPr>
          <w:b/>
        </w:rPr>
        <w:t>Uitgangspunten van beleid</w:t>
      </w:r>
    </w:p>
    <w:p w:rsidR="00977084" w:rsidRPr="008E79A0" w:rsidRDefault="00977084" w:rsidP="00977084">
      <w:r w:rsidRPr="008E79A0">
        <w:t xml:space="preserve">Voor de periode 2018-2021 wil Brandweer Kennemerland een robuuste en vitale organisatie zijn en blijven. </w:t>
      </w:r>
      <w:r>
        <w:t xml:space="preserve">Dat is de reden </w:t>
      </w:r>
      <w:r w:rsidRPr="008E79A0">
        <w:t>het brandweer</w:t>
      </w:r>
      <w:r>
        <w:t xml:space="preserve"> </w:t>
      </w:r>
      <w:r w:rsidRPr="008E79A0">
        <w:t xml:space="preserve">vak </w:t>
      </w:r>
      <w:r>
        <w:t xml:space="preserve">verder </w:t>
      </w:r>
      <w:r w:rsidRPr="008E79A0">
        <w:t>door</w:t>
      </w:r>
      <w:r>
        <w:t xml:space="preserve"> te </w:t>
      </w:r>
      <w:r w:rsidRPr="008E79A0">
        <w:t xml:space="preserve">ontwikkelen, gebaseerd op kennisdeling naar aanleiding van incidenten, technologische vernieuwingen en verdieping van het brandweeronderwijs. </w:t>
      </w:r>
      <w:r>
        <w:t xml:space="preserve">In het besef </w:t>
      </w:r>
      <w:r w:rsidRPr="008E79A0">
        <w:t xml:space="preserve"> van het hoge tempo waarin de maatschappij zich ontwikkelt. De prestaties blijven op het afgesproken niveau, waarbij de minimumeisen uit de wet </w:t>
      </w:r>
      <w:r>
        <w:t>worden gerespecteerd</w:t>
      </w:r>
      <w:r w:rsidRPr="008E79A0">
        <w:t xml:space="preserve">. </w:t>
      </w:r>
      <w:r>
        <w:t>Bij de opkomsttijden voldoet de regio niet 100% aan de wettelijk eis. Dit is in de praktijk  ook niet haalbaar. Brandweer Nederland werkt aan een nieuwe systematiek, die mogelijk in 2018 ook voor Kennemerland nieuwe normen met zich mee kan brengen.</w:t>
      </w:r>
      <w:r w:rsidRPr="008E79A0">
        <w:br/>
        <w:t>Brandweer Kennemerland investeert in haar mensen; zowel in de beroeps en vrijwillige brandweermensen</w:t>
      </w:r>
      <w:r>
        <w:t>,</w:t>
      </w:r>
      <w:r w:rsidRPr="008E79A0">
        <w:t xml:space="preserve"> alsook in de crisisorganisatie en zet deze mensen en het benodigde materieel optimaal en kostenbewust in om de samenleving van dienst te zijn. </w:t>
      </w:r>
    </w:p>
    <w:p w:rsidR="00CB0355" w:rsidRPr="00450AC5" w:rsidRDefault="00CB0355" w:rsidP="00CB0355">
      <w:pPr>
        <w:pStyle w:val="Geenafstand"/>
        <w:rPr>
          <w:b/>
        </w:rPr>
      </w:pPr>
      <w:r w:rsidRPr="00450AC5">
        <w:rPr>
          <w:b/>
        </w:rPr>
        <w:t>Relevante Beleidsnotities en wettelijk kader</w:t>
      </w:r>
    </w:p>
    <w:p w:rsidR="00CB0355" w:rsidRPr="008E79A0" w:rsidRDefault="00CB0355" w:rsidP="00CB0355">
      <w:pPr>
        <w:numPr>
          <w:ilvl w:val="0"/>
          <w:numId w:val="19"/>
        </w:numPr>
        <w:contextualSpacing/>
      </w:pPr>
      <w:r w:rsidRPr="008E79A0">
        <w:t>Wet Veiligheidsregio’s (artikel 25)</w:t>
      </w:r>
    </w:p>
    <w:p w:rsidR="00CB0355" w:rsidRPr="008E79A0" w:rsidRDefault="00CB0355" w:rsidP="00CB0355">
      <w:pPr>
        <w:numPr>
          <w:ilvl w:val="0"/>
          <w:numId w:val="19"/>
        </w:numPr>
        <w:contextualSpacing/>
      </w:pPr>
      <w:r w:rsidRPr="008E79A0">
        <w:t>Besluit Veiligheidsregio’s</w:t>
      </w:r>
    </w:p>
    <w:p w:rsidR="00CB0355" w:rsidRPr="008E79A0" w:rsidRDefault="00CB0355" w:rsidP="00CB0355">
      <w:pPr>
        <w:numPr>
          <w:ilvl w:val="0"/>
          <w:numId w:val="19"/>
        </w:numPr>
        <w:contextualSpacing/>
      </w:pPr>
      <w:r w:rsidRPr="008E79A0">
        <w:t>Besluit Personeel Veiligheidsregio’s</w:t>
      </w:r>
    </w:p>
    <w:p w:rsidR="00CB0355" w:rsidRPr="008E79A0" w:rsidRDefault="00CB0355" w:rsidP="00CB0355">
      <w:pPr>
        <w:numPr>
          <w:ilvl w:val="0"/>
          <w:numId w:val="19"/>
        </w:numPr>
        <w:contextualSpacing/>
      </w:pPr>
      <w:proofErr w:type="spellStart"/>
      <w:r w:rsidRPr="008E79A0">
        <w:t>RemBrand</w:t>
      </w:r>
      <w:proofErr w:type="spellEnd"/>
      <w:r w:rsidRPr="008E79A0">
        <w:t>; Brandveiligheid is coproductie (juni 2015, Veiligheidsberaad)</w:t>
      </w:r>
    </w:p>
    <w:p w:rsidR="00CB0355" w:rsidRPr="008E79A0" w:rsidRDefault="00CB0355" w:rsidP="00CB0355">
      <w:pPr>
        <w:numPr>
          <w:ilvl w:val="0"/>
          <w:numId w:val="19"/>
        </w:numPr>
        <w:contextualSpacing/>
      </w:pPr>
      <w:r w:rsidRPr="008E79A0">
        <w:t>De Brandweer over morgen, strategische reis als basis voor vernieuwing (2012 Veiligheidsberaad)</w:t>
      </w:r>
    </w:p>
    <w:p w:rsidR="00CB0355" w:rsidRPr="008E79A0" w:rsidRDefault="00CB0355" w:rsidP="00CB0355">
      <w:pPr>
        <w:numPr>
          <w:ilvl w:val="0"/>
          <w:numId w:val="19"/>
        </w:numPr>
        <w:contextualSpacing/>
      </w:pPr>
      <w:r w:rsidRPr="008E79A0">
        <w:t xml:space="preserve">Repressief dekkingsplan 2013 - Regionaal – Hoofdplan repressieve dekking Veiligheidsregio Kennemerland, april 2013, </w:t>
      </w:r>
      <w:r w:rsidR="003C4AB3">
        <w:t>geactualiseerd januari</w:t>
      </w:r>
      <w:r w:rsidRPr="008E79A0">
        <w:t xml:space="preserve"> 2017.</w:t>
      </w:r>
    </w:p>
    <w:p w:rsidR="00CB0355" w:rsidRPr="00ED4E4D" w:rsidRDefault="00CB0355" w:rsidP="00CB0355">
      <w:pPr>
        <w:pStyle w:val="Geenafstand"/>
        <w:numPr>
          <w:ilvl w:val="0"/>
          <w:numId w:val="71"/>
        </w:numPr>
      </w:pPr>
      <w:r w:rsidRPr="00ED4E4D">
        <w:t>Arbeidshygiëne (AB 7 december 2015)</w:t>
      </w:r>
    </w:p>
    <w:p w:rsidR="00CB0355" w:rsidRPr="00DC5D56" w:rsidRDefault="00CB0355" w:rsidP="00CB0355">
      <w:pPr>
        <w:pStyle w:val="Geenafstand"/>
        <w:numPr>
          <w:ilvl w:val="0"/>
          <w:numId w:val="71"/>
        </w:numPr>
      </w:pPr>
      <w:r w:rsidRPr="00DC5D56">
        <w:t>Bluswaterdekking (BCOV 15 juni en 7 december 2015)</w:t>
      </w:r>
    </w:p>
    <w:p w:rsidR="00CB0355" w:rsidRPr="00DC5D56" w:rsidRDefault="00CB0355" w:rsidP="00CB0355">
      <w:pPr>
        <w:pStyle w:val="Geenafstand"/>
        <w:numPr>
          <w:ilvl w:val="0"/>
          <w:numId w:val="71"/>
        </w:numPr>
      </w:pPr>
      <w:r w:rsidRPr="00DC5D56">
        <w:lastRenderedPageBreak/>
        <w:t>Verbetering controlesystematiek (BCOV 29 september 2014)</w:t>
      </w:r>
    </w:p>
    <w:p w:rsidR="00CB0355" w:rsidRPr="00ED4E4D" w:rsidRDefault="00CB0355" w:rsidP="00CB0355">
      <w:pPr>
        <w:pStyle w:val="Geenafstand"/>
        <w:numPr>
          <w:ilvl w:val="0"/>
          <w:numId w:val="71"/>
        </w:numPr>
      </w:pPr>
      <w:r w:rsidRPr="00ED4E4D">
        <w:t>Convenant basisbrandweerzorg Schiphol (AB 29 juni 2015)</w:t>
      </w:r>
    </w:p>
    <w:p w:rsidR="00CB0355" w:rsidRPr="00ED4E4D" w:rsidRDefault="00CB0355" w:rsidP="00CB0355">
      <w:pPr>
        <w:pStyle w:val="Geenafstand"/>
        <w:numPr>
          <w:ilvl w:val="0"/>
          <w:numId w:val="71"/>
        </w:numPr>
      </w:pPr>
      <w:r w:rsidRPr="00ED4E4D">
        <w:t xml:space="preserve">Toekomstvisie brandweer Kennemerland in 2015, dd. 2013 </w:t>
      </w:r>
    </w:p>
    <w:p w:rsidR="00CB0355" w:rsidRPr="00ED4E4D" w:rsidRDefault="00CB0355" w:rsidP="00CB0355">
      <w:pPr>
        <w:pStyle w:val="Geenafstand"/>
        <w:numPr>
          <w:ilvl w:val="0"/>
          <w:numId w:val="71"/>
        </w:numPr>
      </w:pPr>
      <w:r w:rsidRPr="00ED4E4D">
        <w:t>Reorganisatieplan Brandweer Kennemerland, dd. 2013</w:t>
      </w:r>
    </w:p>
    <w:p w:rsidR="00CB0355" w:rsidRDefault="00CB0355" w:rsidP="00CB0355">
      <w:pPr>
        <w:pStyle w:val="Geenafstand"/>
        <w:numPr>
          <w:ilvl w:val="0"/>
          <w:numId w:val="71"/>
        </w:numPr>
      </w:pPr>
      <w:r w:rsidRPr="00ED4E4D">
        <w:t>Brandveilig leven Kennemerland (BCOV 29 september 2014)</w:t>
      </w:r>
    </w:p>
    <w:p w:rsidR="00CB0355" w:rsidRPr="00380D05" w:rsidRDefault="00CB0355" w:rsidP="00CB0355">
      <w:pPr>
        <w:pStyle w:val="Geenafstand"/>
        <w:numPr>
          <w:ilvl w:val="0"/>
          <w:numId w:val="71"/>
        </w:numPr>
        <w:rPr>
          <w:rFonts w:eastAsia="Times New Roman"/>
        </w:rPr>
      </w:pPr>
      <w:r w:rsidRPr="008E79A0">
        <w:t>De beweging van risico beheersing naar risico gerichtheid in 2020. Samen zorgen voor échte coproductie (Raad Directeuren Veiligheidsregio’s, Raad van Directeuren Publieke Gezondheidszorg en de Managementraad Bevolkingszorg)</w:t>
      </w:r>
      <w:r w:rsidRPr="00380D05">
        <w:rPr>
          <w:rFonts w:eastAsia="Times New Roman"/>
        </w:rPr>
        <w:t xml:space="preserve"> </w:t>
      </w:r>
    </w:p>
    <w:p w:rsidR="00CB0355" w:rsidRPr="008E79A0" w:rsidRDefault="00CB0355" w:rsidP="00CB0355">
      <w:pPr>
        <w:pStyle w:val="Geenafstand"/>
        <w:numPr>
          <w:ilvl w:val="0"/>
          <w:numId w:val="19"/>
        </w:numPr>
        <w:contextualSpacing/>
      </w:pPr>
      <w:r w:rsidRPr="00AE1733">
        <w:rPr>
          <w:rFonts w:eastAsia="Times New Roman"/>
        </w:rPr>
        <w:t>Invoering van de Elektronische Leer Omgeving (ELO) (besluit Veiligheidsberaad</w:t>
      </w:r>
      <w:r>
        <w:rPr>
          <w:rFonts w:eastAsia="Times New Roman"/>
        </w:rPr>
        <w:t xml:space="preserve"> f</w:t>
      </w:r>
      <w:r w:rsidRPr="00AE1733">
        <w:rPr>
          <w:rFonts w:eastAsia="Times New Roman"/>
        </w:rPr>
        <w:t>ebruari 201</w:t>
      </w:r>
      <w:r>
        <w:rPr>
          <w:rFonts w:eastAsia="Times New Roman"/>
        </w:rPr>
        <w:t>4</w:t>
      </w:r>
      <w:r w:rsidRPr="00AE1733">
        <w:rPr>
          <w:rFonts w:eastAsia="Times New Roman"/>
        </w:rPr>
        <w:t>)</w:t>
      </w:r>
    </w:p>
    <w:p w:rsidR="00CB0355" w:rsidRDefault="00CB0355" w:rsidP="00CB0355">
      <w:pPr>
        <w:rPr>
          <w:b/>
        </w:rPr>
      </w:pPr>
    </w:p>
    <w:p w:rsidR="00CB0355" w:rsidRPr="00ED4E4D" w:rsidRDefault="00CB0355" w:rsidP="00CB0355">
      <w:pPr>
        <w:rPr>
          <w:b/>
        </w:rPr>
      </w:pPr>
      <w:r w:rsidRPr="00ED4E4D">
        <w:rPr>
          <w:b/>
        </w:rPr>
        <w:t>Risico’s</w:t>
      </w:r>
    </w:p>
    <w:tbl>
      <w:tblPr>
        <w:tblStyle w:val="Tabelraster2"/>
        <w:tblW w:w="0" w:type="auto"/>
        <w:tblLayout w:type="fixed"/>
        <w:tblLook w:val="04A0" w:firstRow="1" w:lastRow="0" w:firstColumn="1" w:lastColumn="0" w:noHBand="0" w:noVBand="1"/>
      </w:tblPr>
      <w:tblGrid>
        <w:gridCol w:w="3085"/>
        <w:gridCol w:w="6095"/>
      </w:tblGrid>
      <w:tr w:rsidR="00CB0355" w:rsidRPr="00ED4E4D" w:rsidTr="00EC4930">
        <w:tc>
          <w:tcPr>
            <w:tcW w:w="3085" w:type="dxa"/>
            <w:shd w:val="clear" w:color="auto" w:fill="C6D9F1" w:themeFill="text2" w:themeFillTint="33"/>
          </w:tcPr>
          <w:p w:rsidR="00CB0355" w:rsidRPr="00ED4E4D" w:rsidRDefault="00CB0355" w:rsidP="00EC4930">
            <w:r w:rsidRPr="00ED4E4D">
              <w:t>Risico</w:t>
            </w:r>
          </w:p>
        </w:tc>
        <w:tc>
          <w:tcPr>
            <w:tcW w:w="6095" w:type="dxa"/>
            <w:shd w:val="clear" w:color="auto" w:fill="C6D9F1" w:themeFill="text2" w:themeFillTint="33"/>
          </w:tcPr>
          <w:p w:rsidR="00CB0355" w:rsidRPr="00ED4E4D" w:rsidRDefault="00CB0355" w:rsidP="00EC4930">
            <w:r w:rsidRPr="00ED4E4D">
              <w:t>Beheersmaatregel</w:t>
            </w:r>
          </w:p>
        </w:tc>
      </w:tr>
      <w:tr w:rsidR="00CB0355" w:rsidRPr="00ED4E4D" w:rsidTr="00EC4930">
        <w:tc>
          <w:tcPr>
            <w:tcW w:w="3085" w:type="dxa"/>
          </w:tcPr>
          <w:p w:rsidR="00CB0355" w:rsidRPr="00ED4E4D" w:rsidRDefault="00CB0355" w:rsidP="00EC4930">
            <w:r w:rsidRPr="00ED4E4D">
              <w:t>Afname van de slagkracht als gevolg van afname repressieve medewerkers en een onevenwichtige samenstelling van het repressieve personeel.</w:t>
            </w:r>
          </w:p>
        </w:tc>
        <w:tc>
          <w:tcPr>
            <w:tcW w:w="6095" w:type="dxa"/>
          </w:tcPr>
          <w:p w:rsidR="00CB0355" w:rsidRPr="008E79A0" w:rsidRDefault="00CB0355" w:rsidP="00CB0355">
            <w:pPr>
              <w:numPr>
                <w:ilvl w:val="0"/>
                <w:numId w:val="20"/>
              </w:numPr>
            </w:pPr>
            <w:r w:rsidRPr="008E79A0">
              <w:t xml:space="preserve">Continue werving en binding van vrijwilligers </w:t>
            </w:r>
          </w:p>
          <w:p w:rsidR="00CB0355" w:rsidRPr="008E79A0" w:rsidRDefault="00CB0355" w:rsidP="00CB0355">
            <w:pPr>
              <w:numPr>
                <w:ilvl w:val="0"/>
                <w:numId w:val="20"/>
              </w:numPr>
            </w:pPr>
            <w:r w:rsidRPr="008E79A0">
              <w:t>Anticiperen op vertrek van repressieve beroepsmedewerkers</w:t>
            </w:r>
          </w:p>
          <w:p w:rsidR="00CB0355" w:rsidRPr="008E79A0" w:rsidRDefault="00CB0355" w:rsidP="00CB0355">
            <w:pPr>
              <w:numPr>
                <w:ilvl w:val="0"/>
                <w:numId w:val="20"/>
              </w:numPr>
            </w:pPr>
            <w:r w:rsidRPr="008E79A0">
              <w:t>Leeftijdsbewust personeelsbeleid</w:t>
            </w:r>
          </w:p>
          <w:p w:rsidR="00CB0355" w:rsidRPr="008E79A0" w:rsidRDefault="00CB0355" w:rsidP="00CB0355">
            <w:pPr>
              <w:numPr>
                <w:ilvl w:val="0"/>
                <w:numId w:val="20"/>
              </w:numPr>
            </w:pPr>
            <w:r w:rsidRPr="008E79A0">
              <w:t xml:space="preserve">Investeren in jonge (repressieve) werknemers om ze te binden aan de organisatie </w:t>
            </w:r>
          </w:p>
          <w:p w:rsidR="00CB0355" w:rsidRPr="008E79A0" w:rsidRDefault="00CB0355" w:rsidP="00CB0355">
            <w:pPr>
              <w:numPr>
                <w:ilvl w:val="0"/>
                <w:numId w:val="20"/>
              </w:numPr>
            </w:pPr>
            <w:r w:rsidRPr="008E79A0">
              <w:t>Investeren in diversiteit personeel</w:t>
            </w:r>
            <w:r w:rsidR="005615F6">
              <w:t xml:space="preserve"> </w:t>
            </w:r>
            <w:r w:rsidR="007534FC">
              <w:t>(inclusief mensen met afstand tot de arbeidsmarkt)</w:t>
            </w:r>
          </w:p>
          <w:p w:rsidR="00CB0355" w:rsidRPr="008E79A0" w:rsidRDefault="00CB0355" w:rsidP="007534FC">
            <w:pPr>
              <w:ind w:left="360"/>
              <w:rPr>
                <w:highlight w:val="red"/>
              </w:rPr>
            </w:pPr>
          </w:p>
        </w:tc>
      </w:tr>
      <w:tr w:rsidR="00CB0355" w:rsidRPr="00ED4E4D" w:rsidTr="00EC4930">
        <w:tc>
          <w:tcPr>
            <w:tcW w:w="3085" w:type="dxa"/>
          </w:tcPr>
          <w:p w:rsidR="00CB0355" w:rsidRPr="00ED4E4D" w:rsidRDefault="00CB0355" w:rsidP="00EC4930">
            <w:r w:rsidRPr="00ED4E4D">
              <w:t>Geen optimale bestrijding van incidenten, door informatieachterstand bij brandweer over brandveiligheid van objecten.</w:t>
            </w:r>
          </w:p>
        </w:tc>
        <w:tc>
          <w:tcPr>
            <w:tcW w:w="6095" w:type="dxa"/>
          </w:tcPr>
          <w:p w:rsidR="00CB0355" w:rsidRPr="008E79A0" w:rsidRDefault="00CB0355" w:rsidP="00CB0355">
            <w:pPr>
              <w:numPr>
                <w:ilvl w:val="0"/>
                <w:numId w:val="53"/>
              </w:numPr>
              <w:contextualSpacing/>
            </w:pPr>
            <w:r w:rsidRPr="008E79A0">
              <w:t>Stimuleren dat brandveiligheid onderdeel is van integraal veiligheidsbeleid van gemeenten.</w:t>
            </w:r>
          </w:p>
          <w:p w:rsidR="00CB0355" w:rsidRPr="008E79A0" w:rsidRDefault="00CB0355" w:rsidP="00CB0355">
            <w:pPr>
              <w:numPr>
                <w:ilvl w:val="0"/>
                <w:numId w:val="53"/>
              </w:numPr>
              <w:contextualSpacing/>
            </w:pPr>
            <w:r w:rsidRPr="008E79A0">
              <w:t>Concrete afspraken maken over wijze van informatiedeling en uitwisseling met de partners</w:t>
            </w:r>
          </w:p>
          <w:p w:rsidR="00CB0355" w:rsidRPr="008E79A0" w:rsidRDefault="00CB0355" w:rsidP="00CB0355">
            <w:pPr>
              <w:numPr>
                <w:ilvl w:val="0"/>
                <w:numId w:val="53"/>
              </w:numPr>
              <w:contextualSpacing/>
            </w:pPr>
            <w:r w:rsidRPr="008E79A0">
              <w:t>Digitaal ontsluiten van informatie door de sector Pro-actie &amp; Preventie en onze partners</w:t>
            </w:r>
          </w:p>
        </w:tc>
      </w:tr>
      <w:tr w:rsidR="00CB0355" w:rsidRPr="00ED4E4D" w:rsidTr="00EC4930">
        <w:tc>
          <w:tcPr>
            <w:tcW w:w="3085" w:type="dxa"/>
          </w:tcPr>
          <w:p w:rsidR="00CB0355" w:rsidRPr="00ED4E4D" w:rsidRDefault="00CB0355" w:rsidP="00EC4930">
            <w:r w:rsidRPr="00ED4E4D">
              <w:t>Bluswatervoorziening niet op orde</w:t>
            </w:r>
          </w:p>
        </w:tc>
        <w:tc>
          <w:tcPr>
            <w:tcW w:w="6095" w:type="dxa"/>
          </w:tcPr>
          <w:p w:rsidR="00CB0355" w:rsidRPr="00ED4E4D" w:rsidRDefault="00CB0355" w:rsidP="00EC4930">
            <w:r w:rsidRPr="00ED4E4D">
              <w:t xml:space="preserve">Het </w:t>
            </w:r>
            <w:r>
              <w:t>uitvoeren</w:t>
            </w:r>
            <w:r w:rsidRPr="00ED4E4D">
              <w:t xml:space="preserve"> van afspraken met gemeenten over het tot stand brengen en in standhouden van afdoende bluswatervoorziening.</w:t>
            </w:r>
          </w:p>
        </w:tc>
      </w:tr>
      <w:tr w:rsidR="00CB0355" w:rsidRPr="00ED4E4D" w:rsidTr="00EC4930">
        <w:tc>
          <w:tcPr>
            <w:tcW w:w="3085" w:type="dxa"/>
          </w:tcPr>
          <w:p w:rsidR="00CB0355" w:rsidRPr="008E79A0" w:rsidRDefault="00CB0355" w:rsidP="00EC4930">
            <w:r w:rsidRPr="008E79A0">
              <w:t>Onduidelijkheid rondom de invoering van de Omgevingswet op uitvoerend niveau.</w:t>
            </w:r>
          </w:p>
        </w:tc>
        <w:tc>
          <w:tcPr>
            <w:tcW w:w="6095" w:type="dxa"/>
          </w:tcPr>
          <w:p w:rsidR="00CB0355" w:rsidRPr="008E79A0" w:rsidRDefault="00CB0355" w:rsidP="00EC4930">
            <w:r w:rsidRPr="008E79A0">
              <w:t>Investeren in het actief vormgeven van de implementatie voorafgaand aan de wetsinvoering.</w:t>
            </w:r>
          </w:p>
        </w:tc>
      </w:tr>
    </w:tbl>
    <w:p w:rsidR="00CB0355" w:rsidRPr="00ED4E4D" w:rsidRDefault="00CB0355" w:rsidP="00CB0355"/>
    <w:p w:rsidR="00546C4B" w:rsidRDefault="00546C4B" w:rsidP="00546C4B"/>
    <w:p w:rsidR="00546C4B" w:rsidRPr="003542F3" w:rsidRDefault="00546C4B" w:rsidP="00546C4B">
      <w:pPr>
        <w:rPr>
          <w:b/>
        </w:rPr>
      </w:pPr>
    </w:p>
    <w:p w:rsidR="00546C4B" w:rsidRPr="003542F3" w:rsidRDefault="00546C4B" w:rsidP="00546C4B">
      <w:pPr>
        <w:rPr>
          <w:b/>
        </w:rPr>
        <w:sectPr w:rsidR="00546C4B" w:rsidRPr="003542F3" w:rsidSect="001B4283">
          <w:footerReference w:type="default" r:id="rId16"/>
          <w:pgSz w:w="11906" w:h="16838"/>
          <w:pgMar w:top="1417" w:right="1417" w:bottom="1417" w:left="1417" w:header="708" w:footer="708" w:gutter="0"/>
          <w:cols w:space="708"/>
          <w:docGrid w:linePitch="360"/>
        </w:sectPr>
      </w:pPr>
    </w:p>
    <w:p w:rsidR="00546C4B" w:rsidRDefault="00546C4B" w:rsidP="00546C4B">
      <w:pPr>
        <w:rPr>
          <w:b/>
        </w:rPr>
      </w:pPr>
      <w:r w:rsidRPr="003542F3">
        <w:rPr>
          <w:b/>
        </w:rPr>
        <w:lastRenderedPageBreak/>
        <w:t>Doelenboom</w:t>
      </w:r>
    </w:p>
    <w:tbl>
      <w:tblPr>
        <w:tblStyle w:val="Tabelraster3"/>
        <w:tblW w:w="0" w:type="auto"/>
        <w:tblLook w:val="04A0" w:firstRow="1" w:lastRow="0" w:firstColumn="1" w:lastColumn="0" w:noHBand="0" w:noVBand="1"/>
      </w:tblPr>
      <w:tblGrid>
        <w:gridCol w:w="1942"/>
        <w:gridCol w:w="2807"/>
        <w:gridCol w:w="5896"/>
        <w:gridCol w:w="3575"/>
      </w:tblGrid>
      <w:tr w:rsidR="00546C4B" w:rsidRPr="00EC12F6" w:rsidTr="00243680">
        <w:tc>
          <w:tcPr>
            <w:tcW w:w="4749" w:type="dxa"/>
            <w:gridSpan w:val="2"/>
          </w:tcPr>
          <w:p w:rsidR="00546C4B" w:rsidRPr="00EC12F6" w:rsidRDefault="00546C4B" w:rsidP="00243680">
            <w:pPr>
              <w:rPr>
                <w:i/>
              </w:rPr>
            </w:pPr>
            <w:r w:rsidRPr="00EC12F6">
              <w:rPr>
                <w:i/>
              </w:rPr>
              <w:t>Wat willen we bereiken</w:t>
            </w:r>
          </w:p>
        </w:tc>
        <w:tc>
          <w:tcPr>
            <w:tcW w:w="5896" w:type="dxa"/>
          </w:tcPr>
          <w:p w:rsidR="00546C4B" w:rsidRPr="00EC12F6" w:rsidRDefault="00546C4B" w:rsidP="00243680">
            <w:pPr>
              <w:rPr>
                <w:i/>
              </w:rPr>
            </w:pPr>
            <w:r w:rsidRPr="00EC12F6">
              <w:rPr>
                <w:i/>
              </w:rPr>
              <w:t>Wat gaan we er voor doen</w:t>
            </w:r>
          </w:p>
        </w:tc>
        <w:tc>
          <w:tcPr>
            <w:tcW w:w="3575" w:type="dxa"/>
            <w:vMerge w:val="restart"/>
          </w:tcPr>
          <w:p w:rsidR="00546C4B" w:rsidRPr="00EC12F6" w:rsidRDefault="00546C4B" w:rsidP="00243680">
            <w:pPr>
              <w:rPr>
                <w:i/>
              </w:rPr>
            </w:pPr>
            <w:r w:rsidRPr="00EC12F6">
              <w:rPr>
                <w:i/>
              </w:rPr>
              <w:t>Wat is het beoogd maatschappelijk effect</w:t>
            </w:r>
          </w:p>
        </w:tc>
      </w:tr>
      <w:tr w:rsidR="00546C4B" w:rsidRPr="00EC12F6" w:rsidTr="00243680">
        <w:tc>
          <w:tcPr>
            <w:tcW w:w="1942" w:type="dxa"/>
          </w:tcPr>
          <w:p w:rsidR="00546C4B" w:rsidRPr="00EC12F6" w:rsidRDefault="00546C4B" w:rsidP="00243680">
            <w:r w:rsidRPr="00EC12F6">
              <w:t>Strategisch doel</w:t>
            </w:r>
          </w:p>
        </w:tc>
        <w:tc>
          <w:tcPr>
            <w:tcW w:w="2807" w:type="dxa"/>
          </w:tcPr>
          <w:p w:rsidR="00546C4B" w:rsidRPr="00EC12F6" w:rsidRDefault="00546C4B" w:rsidP="00243680">
            <w:r w:rsidRPr="00EC12F6">
              <w:t>Operationeel doel</w:t>
            </w:r>
          </w:p>
        </w:tc>
        <w:tc>
          <w:tcPr>
            <w:tcW w:w="5896" w:type="dxa"/>
          </w:tcPr>
          <w:p w:rsidR="00546C4B" w:rsidRPr="00EC12F6" w:rsidRDefault="00546C4B" w:rsidP="005E2CE6">
            <w:r w:rsidRPr="00EC12F6">
              <w:t>Prestatie 201</w:t>
            </w:r>
            <w:r w:rsidR="005E2CE6">
              <w:t>8</w:t>
            </w:r>
            <w:r w:rsidRPr="00EC12F6">
              <w:t>-202</w:t>
            </w:r>
            <w:r w:rsidR="005E2CE6">
              <w:t>1</w:t>
            </w:r>
          </w:p>
        </w:tc>
        <w:tc>
          <w:tcPr>
            <w:tcW w:w="3575" w:type="dxa"/>
            <w:vMerge/>
          </w:tcPr>
          <w:p w:rsidR="00546C4B" w:rsidRPr="00EC12F6" w:rsidRDefault="00546C4B" w:rsidP="00243680"/>
        </w:tc>
      </w:tr>
      <w:tr w:rsidR="00546C4B" w:rsidRPr="00EC12F6" w:rsidTr="00243680">
        <w:tc>
          <w:tcPr>
            <w:tcW w:w="14220" w:type="dxa"/>
            <w:gridSpan w:val="4"/>
            <w:shd w:val="clear" w:color="auto" w:fill="C6D9F1" w:themeFill="text2" w:themeFillTint="33"/>
          </w:tcPr>
          <w:p w:rsidR="00546C4B" w:rsidRPr="00EC12F6" w:rsidRDefault="00546C4B" w:rsidP="00243680"/>
        </w:tc>
      </w:tr>
      <w:tr w:rsidR="00B24F74" w:rsidRPr="00EC12F6" w:rsidTr="00243680">
        <w:tc>
          <w:tcPr>
            <w:tcW w:w="1942" w:type="dxa"/>
            <w:vMerge w:val="restart"/>
          </w:tcPr>
          <w:p w:rsidR="00B24F74" w:rsidRPr="00EC12F6" w:rsidRDefault="00B24F74" w:rsidP="00144BC8">
            <w:r>
              <w:t>Brandveilige samenleving</w:t>
            </w:r>
            <w:r w:rsidR="005615F6">
              <w:t xml:space="preserve"> </w:t>
            </w:r>
            <w:r>
              <w:t>door m</w:t>
            </w:r>
            <w:r w:rsidRPr="00EC12F6">
              <w:t>inder branden</w:t>
            </w:r>
          </w:p>
        </w:tc>
        <w:tc>
          <w:tcPr>
            <w:tcW w:w="2807" w:type="dxa"/>
          </w:tcPr>
          <w:p w:rsidR="00B24F74" w:rsidRPr="00EC12F6" w:rsidRDefault="00B24F74" w:rsidP="00243680">
            <w:r w:rsidRPr="00EC12F6">
              <w:t>Bewustzijn creëren over brandveiligheid bij burgers en bedrijven</w:t>
            </w:r>
          </w:p>
        </w:tc>
        <w:tc>
          <w:tcPr>
            <w:tcW w:w="5896" w:type="dxa"/>
          </w:tcPr>
          <w:p w:rsidR="00B24F74" w:rsidRPr="00ED4E4D" w:rsidRDefault="00B24F74" w:rsidP="00FB727F">
            <w:pPr>
              <w:numPr>
                <w:ilvl w:val="0"/>
                <w:numId w:val="21"/>
              </w:numPr>
            </w:pPr>
            <w:r w:rsidRPr="00ED4E4D">
              <w:t xml:space="preserve">Zorgen dat brandveiligheid een integraal onderdeel is van het gemeentelijk integraal veiligheidsplan </w:t>
            </w:r>
          </w:p>
          <w:p w:rsidR="00B24F74" w:rsidRPr="00ED4E4D" w:rsidRDefault="00B24F74" w:rsidP="00FB727F">
            <w:pPr>
              <w:numPr>
                <w:ilvl w:val="0"/>
                <w:numId w:val="21"/>
              </w:numPr>
            </w:pPr>
            <w:r w:rsidRPr="00ED4E4D">
              <w:t>Samen met betrokken gemeenten en woningcoöperaties voorlichtingscampag</w:t>
            </w:r>
            <w:r>
              <w:t>n</w:t>
            </w:r>
            <w:r w:rsidRPr="00ED4E4D">
              <w:t xml:space="preserve">es uitvoeren in de domeinen wonen, onderwijs en zorg. </w:t>
            </w:r>
          </w:p>
          <w:p w:rsidR="00B24F74" w:rsidRPr="00ED4E4D" w:rsidRDefault="00B24F74" w:rsidP="00FB727F">
            <w:pPr>
              <w:numPr>
                <w:ilvl w:val="0"/>
                <w:numId w:val="21"/>
              </w:numPr>
            </w:pPr>
            <w:r w:rsidRPr="00ED4E4D">
              <w:t>Voorlichtingssessie in de wijk na een woningbrand</w:t>
            </w:r>
            <w:r>
              <w:t>.</w:t>
            </w:r>
          </w:p>
          <w:p w:rsidR="00B24F74" w:rsidRPr="00ED4E4D" w:rsidRDefault="00B24F74" w:rsidP="00FB727F">
            <w:pPr>
              <w:numPr>
                <w:ilvl w:val="0"/>
                <w:numId w:val="21"/>
              </w:numPr>
            </w:pPr>
            <w:r w:rsidRPr="008E79A0">
              <w:t xml:space="preserve">Bedrijven en instellingen voeren zelf een brandveiligheidscontrole uit waarmee zij zicht krijgen in </w:t>
            </w:r>
            <w:r w:rsidRPr="00ED4E4D">
              <w:t>het eigen brandveiligheidsniveau</w:t>
            </w:r>
            <w:r>
              <w:t>.</w:t>
            </w:r>
          </w:p>
          <w:p w:rsidR="00B24F74" w:rsidRPr="00EC12F6" w:rsidRDefault="00B24F74" w:rsidP="00FB727F">
            <w:pPr>
              <w:numPr>
                <w:ilvl w:val="0"/>
                <w:numId w:val="21"/>
              </w:numPr>
            </w:pPr>
            <w:r w:rsidRPr="00E822F9">
              <w:t>Met gemeenten de rookmelderdichtheid bevorderen en het bewustzijn van de gevaren van koolmonoxide vergiftiging vergroten.</w:t>
            </w:r>
          </w:p>
        </w:tc>
        <w:tc>
          <w:tcPr>
            <w:tcW w:w="3575" w:type="dxa"/>
            <w:vMerge w:val="restart"/>
          </w:tcPr>
          <w:p w:rsidR="00B24F74" w:rsidRPr="00EC12F6" w:rsidRDefault="00B24F74" w:rsidP="00B90877">
            <w:r>
              <w:t>Een grotere brandveiligheid en een groter veiligheidsgevoel in de samenleving</w:t>
            </w:r>
          </w:p>
        </w:tc>
      </w:tr>
      <w:tr w:rsidR="00B24F74" w:rsidRPr="00EC12F6" w:rsidTr="00243680">
        <w:tc>
          <w:tcPr>
            <w:tcW w:w="1942" w:type="dxa"/>
            <w:vMerge/>
          </w:tcPr>
          <w:p w:rsidR="00B24F74" w:rsidRPr="00EC12F6" w:rsidRDefault="00B24F74" w:rsidP="00243680"/>
        </w:tc>
        <w:tc>
          <w:tcPr>
            <w:tcW w:w="2807" w:type="dxa"/>
          </w:tcPr>
          <w:p w:rsidR="00B24F74" w:rsidRPr="00EC12F6" w:rsidRDefault="00B24F74" w:rsidP="00144BC8">
            <w:r>
              <w:t>Bijdragen aan brandveiligheid van bedrijven en hun omgeving</w:t>
            </w:r>
          </w:p>
        </w:tc>
        <w:tc>
          <w:tcPr>
            <w:tcW w:w="5896" w:type="dxa"/>
          </w:tcPr>
          <w:p w:rsidR="00B24F74" w:rsidRPr="00290D93" w:rsidRDefault="00B24F74" w:rsidP="00FB727F">
            <w:pPr>
              <w:numPr>
                <w:ilvl w:val="0"/>
                <w:numId w:val="21"/>
              </w:numPr>
            </w:pPr>
            <w:r>
              <w:t xml:space="preserve">Door ontwikkelen </w:t>
            </w:r>
            <w:r w:rsidRPr="00290D93">
              <w:t>van de gemoderniseerde controle systematiek</w:t>
            </w:r>
            <w:r>
              <w:t>.</w:t>
            </w:r>
          </w:p>
          <w:p w:rsidR="00B24F74" w:rsidRPr="00290D93" w:rsidRDefault="00B24F74" w:rsidP="00FB727F">
            <w:pPr>
              <w:numPr>
                <w:ilvl w:val="0"/>
                <w:numId w:val="21"/>
              </w:numPr>
            </w:pPr>
            <w:r w:rsidRPr="00290D93">
              <w:t>Adviezen geven die zich richten op (grootste) risico’s in plaats van op ‘regels’</w:t>
            </w:r>
            <w:r>
              <w:t>(risico gerichtheid).</w:t>
            </w:r>
          </w:p>
          <w:p w:rsidR="00B24F74" w:rsidRPr="00EC12F6" w:rsidRDefault="00B24F74" w:rsidP="00FB727F">
            <w:pPr>
              <w:numPr>
                <w:ilvl w:val="0"/>
                <w:numId w:val="21"/>
              </w:numPr>
            </w:pPr>
            <w:r w:rsidRPr="00290D93">
              <w:t>Inspelen op en uitvoering geven aan de Omgevingswet en de Wet Kwaliteitsborging</w:t>
            </w:r>
            <w:r w:rsidR="008D0156">
              <w:t xml:space="preserve"> </w:t>
            </w:r>
            <w:r w:rsidRPr="00290D93">
              <w:t>Bouwen</w:t>
            </w:r>
            <w:r>
              <w:t>.</w:t>
            </w:r>
          </w:p>
        </w:tc>
        <w:tc>
          <w:tcPr>
            <w:tcW w:w="3575" w:type="dxa"/>
            <w:vMerge/>
          </w:tcPr>
          <w:p w:rsidR="00B24F74" w:rsidRPr="00EC12F6" w:rsidRDefault="00B24F74" w:rsidP="00243680"/>
        </w:tc>
      </w:tr>
      <w:tr w:rsidR="00B24F74" w:rsidRPr="00EC12F6" w:rsidTr="001434D1">
        <w:tc>
          <w:tcPr>
            <w:tcW w:w="1942" w:type="dxa"/>
            <w:vMerge/>
          </w:tcPr>
          <w:p w:rsidR="00B24F74" w:rsidRPr="00EC12F6" w:rsidRDefault="00B24F74" w:rsidP="00243680"/>
        </w:tc>
        <w:tc>
          <w:tcPr>
            <w:tcW w:w="2807" w:type="dxa"/>
            <w:tcBorders>
              <w:bottom w:val="single" w:sz="4" w:space="0" w:color="auto"/>
            </w:tcBorders>
          </w:tcPr>
          <w:p w:rsidR="00B24F74" w:rsidRPr="00EC12F6" w:rsidRDefault="00B24F74" w:rsidP="004945DD">
            <w:r w:rsidRPr="00EC12F6">
              <w:t>Uitbreiden van de samenwerking met de Regionale Omgevings</w:t>
            </w:r>
            <w:r>
              <w:t>d</w:t>
            </w:r>
            <w:r w:rsidRPr="00EC12F6">
              <w:t>iensten</w:t>
            </w:r>
          </w:p>
        </w:tc>
        <w:tc>
          <w:tcPr>
            <w:tcW w:w="5896" w:type="dxa"/>
            <w:tcBorders>
              <w:bottom w:val="single" w:sz="4" w:space="0" w:color="auto"/>
            </w:tcBorders>
          </w:tcPr>
          <w:p w:rsidR="00B24F74" w:rsidRPr="00EC12F6" w:rsidRDefault="00B24F74" w:rsidP="00FB727F">
            <w:pPr>
              <w:numPr>
                <w:ilvl w:val="0"/>
                <w:numId w:val="23"/>
              </w:numPr>
            </w:pPr>
            <w:r>
              <w:t xml:space="preserve">Uitvoering geven aan de samenwerkingsafspraken </w:t>
            </w:r>
            <w:r w:rsidRPr="00FC0AEE">
              <w:t xml:space="preserve">met </w:t>
            </w:r>
            <w:r>
              <w:t>de Regionale Omgevingsdiensten</w:t>
            </w:r>
            <w:r w:rsidRPr="00FC0AEE">
              <w:t>.</w:t>
            </w:r>
          </w:p>
        </w:tc>
        <w:tc>
          <w:tcPr>
            <w:tcW w:w="3575" w:type="dxa"/>
            <w:vMerge/>
          </w:tcPr>
          <w:p w:rsidR="00B24F74" w:rsidRPr="00EC12F6" w:rsidRDefault="00B24F74" w:rsidP="00243680"/>
        </w:tc>
      </w:tr>
      <w:tr w:rsidR="00B24F74" w:rsidRPr="00EC12F6" w:rsidTr="00243680">
        <w:tc>
          <w:tcPr>
            <w:tcW w:w="1942" w:type="dxa"/>
            <w:vMerge/>
            <w:tcBorders>
              <w:bottom w:val="single" w:sz="4" w:space="0" w:color="auto"/>
            </w:tcBorders>
          </w:tcPr>
          <w:p w:rsidR="00B24F74" w:rsidRPr="00EC12F6" w:rsidRDefault="00B24F74" w:rsidP="00243680"/>
        </w:tc>
        <w:tc>
          <w:tcPr>
            <w:tcW w:w="2807" w:type="dxa"/>
            <w:tcBorders>
              <w:bottom w:val="single" w:sz="4" w:space="0" w:color="auto"/>
            </w:tcBorders>
          </w:tcPr>
          <w:p w:rsidR="00B24F74" w:rsidRDefault="006F08F0" w:rsidP="006F08F0">
            <w:r w:rsidRPr="008E79A0">
              <w:t>In beeld hebben van de brandrisico’s in een brandrisicoprofiel</w:t>
            </w:r>
          </w:p>
          <w:p w:rsidR="0090483D" w:rsidRPr="00EC12F6" w:rsidRDefault="0090483D" w:rsidP="006F08F0"/>
        </w:tc>
        <w:tc>
          <w:tcPr>
            <w:tcW w:w="5896" w:type="dxa"/>
            <w:tcBorders>
              <w:bottom w:val="single" w:sz="4" w:space="0" w:color="auto"/>
            </w:tcBorders>
          </w:tcPr>
          <w:p w:rsidR="00B24F74" w:rsidRPr="00EC12F6" w:rsidRDefault="006F08F0" w:rsidP="00FB727F">
            <w:pPr>
              <w:numPr>
                <w:ilvl w:val="0"/>
                <w:numId w:val="23"/>
              </w:numPr>
            </w:pPr>
            <w:r w:rsidRPr="008E79A0">
              <w:t>Door ontwikkelen van het brandrisicoprofiel.</w:t>
            </w:r>
          </w:p>
        </w:tc>
        <w:tc>
          <w:tcPr>
            <w:tcW w:w="3575" w:type="dxa"/>
            <w:vMerge/>
            <w:tcBorders>
              <w:bottom w:val="single" w:sz="4" w:space="0" w:color="auto"/>
            </w:tcBorders>
          </w:tcPr>
          <w:p w:rsidR="00B24F74" w:rsidRPr="00EC12F6" w:rsidRDefault="00B24F74" w:rsidP="00243680"/>
        </w:tc>
      </w:tr>
      <w:tr w:rsidR="00546C4B" w:rsidRPr="00EC12F6" w:rsidTr="00243680">
        <w:tc>
          <w:tcPr>
            <w:tcW w:w="14220" w:type="dxa"/>
            <w:gridSpan w:val="4"/>
            <w:shd w:val="clear" w:color="auto" w:fill="C6D9F1" w:themeFill="text2" w:themeFillTint="33"/>
          </w:tcPr>
          <w:p w:rsidR="00546C4B" w:rsidRPr="00EC12F6" w:rsidRDefault="00546C4B" w:rsidP="00243680"/>
        </w:tc>
      </w:tr>
      <w:tr w:rsidR="00546C4B" w:rsidRPr="00EC12F6" w:rsidTr="00243680">
        <w:tc>
          <w:tcPr>
            <w:tcW w:w="1942" w:type="dxa"/>
            <w:vMerge w:val="restart"/>
          </w:tcPr>
          <w:p w:rsidR="00546C4B" w:rsidRPr="00EC12F6" w:rsidRDefault="00546C4B" w:rsidP="00243680">
            <w:r>
              <w:lastRenderedPageBreak/>
              <w:t>Effectief optreden bij brand en andere incidenten</w:t>
            </w:r>
          </w:p>
          <w:p w:rsidR="00546C4B" w:rsidRPr="00EC12F6" w:rsidRDefault="00546C4B" w:rsidP="00243680"/>
        </w:tc>
        <w:tc>
          <w:tcPr>
            <w:tcW w:w="2807" w:type="dxa"/>
          </w:tcPr>
          <w:p w:rsidR="00546C4B" w:rsidRPr="00EC12F6" w:rsidRDefault="00546C4B" w:rsidP="00243680">
            <w:r>
              <w:t>P</w:t>
            </w:r>
            <w:r w:rsidRPr="00EC12F6">
              <w:t xml:space="preserve">ersoneel </w:t>
            </w:r>
            <w:r>
              <w:t xml:space="preserve">in staat stellen </w:t>
            </w:r>
            <w:r w:rsidRPr="00EC12F6">
              <w:t>op</w:t>
            </w:r>
            <w:r w:rsidR="005615F6">
              <w:t xml:space="preserve"> </w:t>
            </w:r>
            <w:r>
              <w:t xml:space="preserve">een </w:t>
            </w:r>
            <w:r w:rsidRPr="00EC12F6">
              <w:t>professionele en veilige manier</w:t>
            </w:r>
            <w:r>
              <w:t xml:space="preserve"> te </w:t>
            </w:r>
            <w:r w:rsidRPr="00EC12F6">
              <w:t>werken</w:t>
            </w:r>
          </w:p>
        </w:tc>
        <w:tc>
          <w:tcPr>
            <w:tcW w:w="5896" w:type="dxa"/>
          </w:tcPr>
          <w:p w:rsidR="00FE2A3F" w:rsidRPr="00ED4E4D" w:rsidRDefault="00FE2A3F" w:rsidP="00FB727F">
            <w:pPr>
              <w:numPr>
                <w:ilvl w:val="0"/>
                <w:numId w:val="21"/>
              </w:numPr>
            </w:pPr>
            <w:r w:rsidRPr="00ED4E4D">
              <w:t>Medewerkers opleiden en geoefend houden. Onder andere door periodiek realistisch te oefenen en het uitvoeren van profchecks (een toetsing in de praktijk).</w:t>
            </w:r>
          </w:p>
          <w:p w:rsidR="00CB0355" w:rsidRDefault="00CB0355" w:rsidP="00FB727F">
            <w:pPr>
              <w:numPr>
                <w:ilvl w:val="0"/>
                <w:numId w:val="21"/>
              </w:numPr>
            </w:pPr>
            <w:r>
              <w:t>Medewerkers worden opgeleid en geoefend op basis van de Elektronische Leer Omgeving (ELO)</w:t>
            </w:r>
          </w:p>
          <w:p w:rsidR="00FE2A3F" w:rsidRDefault="00FE2A3F" w:rsidP="00FB727F">
            <w:pPr>
              <w:numPr>
                <w:ilvl w:val="0"/>
                <w:numId w:val="21"/>
              </w:numPr>
            </w:pPr>
            <w:r w:rsidRPr="005B1C99">
              <w:t xml:space="preserve">Blijven investeren in het creëren van een veilig en gezond arbeidsklimaat voor repressieve medewerkers. </w:t>
            </w:r>
          </w:p>
          <w:p w:rsidR="00546C4B" w:rsidRPr="00EC12F6" w:rsidRDefault="00FE2A3F" w:rsidP="00FB727F">
            <w:pPr>
              <w:numPr>
                <w:ilvl w:val="0"/>
                <w:numId w:val="21"/>
              </w:numPr>
            </w:pPr>
            <w:r>
              <w:t>Blijven investeren in Terrorisme Gevolg Bestrijding door opleidingen, oefeningen en vervanging van benodigde materialen.</w:t>
            </w:r>
          </w:p>
        </w:tc>
        <w:tc>
          <w:tcPr>
            <w:tcW w:w="3575" w:type="dxa"/>
            <w:vMerge w:val="restart"/>
          </w:tcPr>
          <w:p w:rsidR="00546C4B" w:rsidRDefault="00546C4B" w:rsidP="00243680">
            <w:r>
              <w:t>Minder schade en slachtoffers bij brand en andere incidenten.</w:t>
            </w:r>
          </w:p>
          <w:p w:rsidR="00546C4B" w:rsidRDefault="00546C4B" w:rsidP="00243680"/>
          <w:p w:rsidR="00546C4B" w:rsidRPr="00EC12F6" w:rsidRDefault="00546C4B" w:rsidP="00243680"/>
          <w:p w:rsidR="00546C4B" w:rsidRDefault="00546C4B" w:rsidP="00243680"/>
          <w:p w:rsidR="00546C4B" w:rsidRPr="005E7B95" w:rsidRDefault="00546C4B" w:rsidP="00243680">
            <w:r w:rsidRPr="005E7B95">
              <w:t>De burger weet wat hij wel, maar ook wat hij niet van de brandweer mag verwachten.</w:t>
            </w:r>
          </w:p>
          <w:p w:rsidR="00546C4B" w:rsidRPr="00EC12F6" w:rsidRDefault="00546C4B" w:rsidP="00243680"/>
        </w:tc>
      </w:tr>
      <w:tr w:rsidR="00546C4B" w:rsidRPr="00EC12F6" w:rsidTr="00243680">
        <w:tc>
          <w:tcPr>
            <w:tcW w:w="1942" w:type="dxa"/>
            <w:vMerge/>
          </w:tcPr>
          <w:p w:rsidR="00546C4B" w:rsidRPr="00EC12F6" w:rsidRDefault="00546C4B" w:rsidP="00243680"/>
        </w:tc>
        <w:tc>
          <w:tcPr>
            <w:tcW w:w="2807" w:type="dxa"/>
          </w:tcPr>
          <w:p w:rsidR="00546C4B" w:rsidRPr="00EC12F6" w:rsidRDefault="00546C4B" w:rsidP="00243680">
            <w:r>
              <w:t>Verbeteren en vervangen van middelen en materieel</w:t>
            </w:r>
            <w:r w:rsidR="005615F6">
              <w:t xml:space="preserve"> </w:t>
            </w:r>
            <w:r w:rsidRPr="00EC12F6">
              <w:t xml:space="preserve">nodig voor </w:t>
            </w:r>
            <w:r>
              <w:t>brand</w:t>
            </w:r>
            <w:r w:rsidRPr="00EC12F6">
              <w:t>bestrijd</w:t>
            </w:r>
            <w:r>
              <w:t>i</w:t>
            </w:r>
            <w:r w:rsidRPr="00EC12F6">
              <w:t>n</w:t>
            </w:r>
            <w:r>
              <w:t>g</w:t>
            </w:r>
            <w:r w:rsidRPr="00EC12F6">
              <w:t xml:space="preserve"> </w:t>
            </w:r>
            <w:r>
              <w:t>e</w:t>
            </w:r>
            <w:r w:rsidRPr="00EC12F6">
              <w:t>n</w:t>
            </w:r>
            <w:r>
              <w:t xml:space="preserve"> andere</w:t>
            </w:r>
            <w:r w:rsidRPr="00EC12F6">
              <w:t xml:space="preserve"> acute hulp</w:t>
            </w:r>
          </w:p>
        </w:tc>
        <w:tc>
          <w:tcPr>
            <w:tcW w:w="5896" w:type="dxa"/>
          </w:tcPr>
          <w:p w:rsidR="00FE2A3F" w:rsidRPr="00ED4E4D" w:rsidRDefault="00FE2A3F" w:rsidP="00FB727F">
            <w:pPr>
              <w:numPr>
                <w:ilvl w:val="0"/>
                <w:numId w:val="22"/>
              </w:numPr>
            </w:pPr>
            <w:r w:rsidRPr="00ED4E4D">
              <w:t>Samen met gemeenten alle noodzakelijke maatregelen nemen om de bluswatervoorzieningen op het afgesproken niveau te krijgen en te houden</w:t>
            </w:r>
          </w:p>
          <w:p w:rsidR="00FE2A3F" w:rsidRPr="00ED4E4D" w:rsidRDefault="00FE2A3F" w:rsidP="00FB727F">
            <w:pPr>
              <w:numPr>
                <w:ilvl w:val="0"/>
                <w:numId w:val="22"/>
              </w:numPr>
            </w:pPr>
            <w:r w:rsidRPr="00ED4E4D">
              <w:t>Bijdrage</w:t>
            </w:r>
            <w:r>
              <w:t xml:space="preserve"> </w:t>
            </w:r>
            <w:r w:rsidRPr="008E79A0">
              <w:t xml:space="preserve">leveren </w:t>
            </w:r>
            <w:r w:rsidRPr="00ED4E4D">
              <w:t>aan landelijk wetenschappelijk onderzoek naar effectieve brandbestrijdingsmethoden</w:t>
            </w:r>
          </w:p>
          <w:p w:rsidR="00FE2A3F" w:rsidRPr="00ED4E4D" w:rsidRDefault="00FE2A3F" w:rsidP="00FB727F">
            <w:pPr>
              <w:numPr>
                <w:ilvl w:val="0"/>
                <w:numId w:val="22"/>
              </w:numPr>
            </w:pPr>
            <w:r w:rsidRPr="00ED4E4D">
              <w:t>Innoveren van</w:t>
            </w:r>
            <w:r>
              <w:t xml:space="preserve"> informatie-uitwisseling in de </w:t>
            </w:r>
            <w:r w:rsidRPr="00ED4E4D">
              <w:t xml:space="preserve">veiligheidsketen (bijv. met behulp van </w:t>
            </w:r>
            <w:proofErr w:type="spellStart"/>
            <w:r w:rsidRPr="00ED4E4D">
              <w:t>geo</w:t>
            </w:r>
            <w:proofErr w:type="spellEnd"/>
            <w:r w:rsidRPr="00ED4E4D">
              <w:t xml:space="preserve">-informatie), </w:t>
            </w:r>
          </w:p>
          <w:p w:rsidR="00546C4B" w:rsidRPr="00EC12F6" w:rsidRDefault="00FE2A3F" w:rsidP="00FB727F">
            <w:pPr>
              <w:numPr>
                <w:ilvl w:val="0"/>
                <w:numId w:val="22"/>
              </w:numPr>
            </w:pPr>
            <w:r>
              <w:t xml:space="preserve">Het inzetten van medewerkers van de </w:t>
            </w:r>
            <w:r w:rsidRPr="00ED4E4D">
              <w:t>24-uurs</w:t>
            </w:r>
            <w:r>
              <w:t xml:space="preserve"> en combi</w:t>
            </w:r>
            <w:r w:rsidRPr="00ED4E4D">
              <w:t xml:space="preserve">posten bij beheer en onderhoud van </w:t>
            </w:r>
            <w:r>
              <w:t xml:space="preserve">de </w:t>
            </w:r>
            <w:r w:rsidRPr="00E822F9">
              <w:t>kazernes</w:t>
            </w:r>
            <w:r>
              <w:t>.</w:t>
            </w:r>
          </w:p>
        </w:tc>
        <w:tc>
          <w:tcPr>
            <w:tcW w:w="3575" w:type="dxa"/>
            <w:vMerge/>
          </w:tcPr>
          <w:p w:rsidR="00546C4B" w:rsidRPr="00EC12F6" w:rsidRDefault="00546C4B" w:rsidP="00243680"/>
        </w:tc>
      </w:tr>
      <w:tr w:rsidR="00546C4B" w:rsidRPr="00EC12F6" w:rsidTr="00243680">
        <w:tc>
          <w:tcPr>
            <w:tcW w:w="1942" w:type="dxa"/>
            <w:vMerge/>
          </w:tcPr>
          <w:p w:rsidR="00546C4B" w:rsidRPr="00EC12F6" w:rsidRDefault="00546C4B" w:rsidP="00243680"/>
        </w:tc>
        <w:tc>
          <w:tcPr>
            <w:tcW w:w="2807" w:type="dxa"/>
            <w:tcBorders>
              <w:bottom w:val="single" w:sz="4" w:space="0" w:color="auto"/>
            </w:tcBorders>
          </w:tcPr>
          <w:p w:rsidR="00546C4B" w:rsidRPr="00EC12F6" w:rsidRDefault="00546C4B" w:rsidP="00243680">
            <w:r>
              <w:t xml:space="preserve">Verbeteren van </w:t>
            </w:r>
            <w:r w:rsidRPr="00EC12F6">
              <w:t xml:space="preserve">processen </w:t>
            </w:r>
            <w:r>
              <w:t>voor</w:t>
            </w:r>
            <w:r w:rsidRPr="00EC12F6">
              <w:t xml:space="preserve"> dagelijkse brandweerzorg en hulpverlening </w:t>
            </w:r>
          </w:p>
        </w:tc>
        <w:tc>
          <w:tcPr>
            <w:tcW w:w="5896" w:type="dxa"/>
            <w:tcBorders>
              <w:bottom w:val="single" w:sz="4" w:space="0" w:color="auto"/>
            </w:tcBorders>
          </w:tcPr>
          <w:p w:rsidR="00FE2A3F" w:rsidRPr="008E79A0" w:rsidRDefault="00FE2A3F" w:rsidP="00FB727F">
            <w:pPr>
              <w:numPr>
                <w:ilvl w:val="0"/>
                <w:numId w:val="22"/>
              </w:numPr>
            </w:pPr>
            <w:r w:rsidRPr="00ED4E4D">
              <w:t xml:space="preserve">Structureel evalueren van </w:t>
            </w:r>
            <w:r w:rsidRPr="008E79A0">
              <w:t>brandweerinzetten, incidentgegevens en deze resultaten omzetten in betere werkwijzen.</w:t>
            </w:r>
          </w:p>
          <w:p w:rsidR="00FE2A3F" w:rsidRPr="008E79A0" w:rsidRDefault="00FE2A3F" w:rsidP="00FB727F">
            <w:pPr>
              <w:numPr>
                <w:ilvl w:val="0"/>
                <w:numId w:val="22"/>
              </w:numPr>
            </w:pPr>
            <w:r w:rsidRPr="008E79A0">
              <w:t>Kennisdeling (landelijk, NW4</w:t>
            </w:r>
            <w:r>
              <w:rPr>
                <w:rStyle w:val="Voetnootmarkering"/>
              </w:rPr>
              <w:footnoteReference w:id="1"/>
            </w:r>
            <w:r w:rsidRPr="008E79A0">
              <w:t xml:space="preserve"> en regionaal) op basis van evaluaties en de resultaten van incidentgegevens.</w:t>
            </w:r>
          </w:p>
          <w:p w:rsidR="00FE2A3F" w:rsidRDefault="00FE2A3F" w:rsidP="00FB727F">
            <w:pPr>
              <w:numPr>
                <w:ilvl w:val="0"/>
                <w:numId w:val="22"/>
              </w:numPr>
            </w:pPr>
            <w:r w:rsidRPr="008E79A0">
              <w:t xml:space="preserve">Toewerken naar </w:t>
            </w:r>
            <w:r w:rsidRPr="00ED4E4D">
              <w:t>gebiedsgerichte opkomsttijden, in plaats van (nu nog) wettelijke verplichte objectgerichte opkomsttijden</w:t>
            </w:r>
            <w:r>
              <w:t>.</w:t>
            </w:r>
          </w:p>
          <w:p w:rsidR="00FE2A3F" w:rsidRDefault="00FE2A3F" w:rsidP="00FB727F">
            <w:pPr>
              <w:numPr>
                <w:ilvl w:val="0"/>
                <w:numId w:val="22"/>
              </w:numPr>
            </w:pPr>
            <w:r>
              <w:t xml:space="preserve">Toepassen van het systeem van zaakgericht werken: het goed en transparant afhandelen van “zaken” waarbij informatie over gebouwen en objecten in één digitaal </w:t>
            </w:r>
            <w:r>
              <w:lastRenderedPageBreak/>
              <w:t xml:space="preserve">dossier voor de belanghebbende partners beschikbaar is. </w:t>
            </w:r>
          </w:p>
          <w:p w:rsidR="00FE2A3F" w:rsidRPr="00ED4E4D" w:rsidRDefault="00FE2A3F" w:rsidP="00FB727F">
            <w:pPr>
              <w:numPr>
                <w:ilvl w:val="0"/>
                <w:numId w:val="22"/>
              </w:numPr>
            </w:pPr>
            <w:r w:rsidRPr="00290D93">
              <w:t>Waar gewenst doorvoeren van flexibele</w:t>
            </w:r>
            <w:r>
              <w:t>re repressieve organisatie met b</w:t>
            </w:r>
            <w:r w:rsidRPr="00290D93">
              <w:t>ehoud van slagkracht</w:t>
            </w:r>
            <w:r>
              <w:t>.</w:t>
            </w:r>
          </w:p>
          <w:p w:rsidR="00FE2A3F" w:rsidRPr="00FC0AEE" w:rsidRDefault="00FE2A3F" w:rsidP="00FB727F">
            <w:pPr>
              <w:numPr>
                <w:ilvl w:val="0"/>
                <w:numId w:val="22"/>
              </w:numPr>
            </w:pPr>
            <w:r w:rsidRPr="00FC0AEE">
              <w:t>Voorbereiden op de komst van een gezamenlijke meldkamer met de regio’s Zaanstreek-Waterland e</w:t>
            </w:r>
            <w:r>
              <w:t>n Noord-Holland Noord</w:t>
            </w:r>
            <w:r w:rsidRPr="00FC0AEE">
              <w:t>.</w:t>
            </w:r>
          </w:p>
          <w:p w:rsidR="00546C4B" w:rsidRPr="00A81F7A" w:rsidRDefault="00FE2A3F" w:rsidP="00FB727F">
            <w:pPr>
              <w:numPr>
                <w:ilvl w:val="0"/>
                <w:numId w:val="22"/>
              </w:numPr>
            </w:pPr>
            <w:r w:rsidRPr="00FC0AEE">
              <w:t>Initiatieven nemen ten behoeve van een duurzame (milieuvriendelijke) organisatie</w:t>
            </w:r>
            <w:r>
              <w:t>.</w:t>
            </w:r>
          </w:p>
        </w:tc>
        <w:tc>
          <w:tcPr>
            <w:tcW w:w="3575" w:type="dxa"/>
            <w:vMerge/>
          </w:tcPr>
          <w:p w:rsidR="00546C4B" w:rsidRPr="00EC12F6" w:rsidRDefault="00546C4B" w:rsidP="00243680"/>
        </w:tc>
      </w:tr>
      <w:tr w:rsidR="00546C4B" w:rsidRPr="00EC12F6" w:rsidTr="00243680">
        <w:tc>
          <w:tcPr>
            <w:tcW w:w="1942" w:type="dxa"/>
            <w:vMerge/>
          </w:tcPr>
          <w:p w:rsidR="00546C4B" w:rsidRPr="00EC12F6" w:rsidRDefault="00546C4B" w:rsidP="00243680"/>
        </w:tc>
        <w:tc>
          <w:tcPr>
            <w:tcW w:w="2807" w:type="dxa"/>
            <w:tcBorders>
              <w:bottom w:val="single" w:sz="4" w:space="0" w:color="auto"/>
            </w:tcBorders>
          </w:tcPr>
          <w:p w:rsidR="00546C4B" w:rsidRPr="00EC12F6" w:rsidRDefault="00546C4B" w:rsidP="00243680">
            <w:r w:rsidRPr="00EC12F6">
              <w:t xml:space="preserve">Uitbreiden </w:t>
            </w:r>
            <w:r w:rsidRPr="005E7B95">
              <w:t xml:space="preserve">interregionale </w:t>
            </w:r>
            <w:r w:rsidRPr="00EC12F6">
              <w:t xml:space="preserve">samenwerking </w:t>
            </w:r>
          </w:p>
        </w:tc>
        <w:tc>
          <w:tcPr>
            <w:tcW w:w="5896" w:type="dxa"/>
            <w:tcBorders>
              <w:bottom w:val="single" w:sz="4" w:space="0" w:color="auto"/>
            </w:tcBorders>
          </w:tcPr>
          <w:p w:rsidR="00903801" w:rsidRPr="00ED4E4D" w:rsidRDefault="00546C4B" w:rsidP="00FB727F">
            <w:pPr>
              <w:numPr>
                <w:ilvl w:val="0"/>
                <w:numId w:val="22"/>
              </w:numPr>
            </w:pPr>
            <w:r>
              <w:t xml:space="preserve"> </w:t>
            </w:r>
            <w:r w:rsidR="00903801" w:rsidRPr="00ED4E4D">
              <w:t xml:space="preserve">Inrichten </w:t>
            </w:r>
            <w:r w:rsidR="00903801">
              <w:t>inter</w:t>
            </w:r>
            <w:r w:rsidR="00903801" w:rsidRPr="00ED4E4D">
              <w:t>regionaal opleidingscentrum met de regio’s Amsterdam-Amstelland, Zaanstreek Waterland en Noord-Holland Noord (</w:t>
            </w:r>
            <w:proofErr w:type="spellStart"/>
            <w:r w:rsidR="00903801" w:rsidRPr="00ED4E4D">
              <w:t>Noord-West</w:t>
            </w:r>
            <w:proofErr w:type="spellEnd"/>
            <w:r w:rsidR="00903801" w:rsidRPr="00ED4E4D">
              <w:t xml:space="preserve"> 4)</w:t>
            </w:r>
            <w:r w:rsidR="00903801">
              <w:t>.</w:t>
            </w:r>
          </w:p>
          <w:p w:rsidR="00903801" w:rsidRDefault="00903801" w:rsidP="00FB727F">
            <w:pPr>
              <w:numPr>
                <w:ilvl w:val="0"/>
                <w:numId w:val="22"/>
              </w:numPr>
            </w:pPr>
            <w:r>
              <w:t>B</w:t>
            </w:r>
            <w:r w:rsidRPr="00ED4E4D">
              <w:t>randbestrijding en hulpverlening effectiever en efficiënter maken door same</w:t>
            </w:r>
            <w:r>
              <w:t>nwerking met omringende regio’s.</w:t>
            </w:r>
          </w:p>
          <w:p w:rsidR="00546C4B" w:rsidRPr="00EC12F6" w:rsidRDefault="00903801" w:rsidP="00FB727F">
            <w:pPr>
              <w:numPr>
                <w:ilvl w:val="0"/>
                <w:numId w:val="22"/>
              </w:numPr>
            </w:pPr>
            <w:proofErr w:type="spellStart"/>
            <w:r>
              <w:t>Dooro</w:t>
            </w:r>
            <w:r w:rsidRPr="00ED4E4D">
              <w:t>ntwikkelen</w:t>
            </w:r>
            <w:proofErr w:type="spellEnd"/>
            <w:r w:rsidRPr="00ED4E4D">
              <w:t xml:space="preserve"> </w:t>
            </w:r>
            <w:r>
              <w:t xml:space="preserve">van </w:t>
            </w:r>
            <w:r w:rsidRPr="00ED4E4D">
              <w:t xml:space="preserve">brandonderzoek als discipline binnen de </w:t>
            </w:r>
            <w:r>
              <w:t xml:space="preserve">NW4 </w:t>
            </w:r>
            <w:r w:rsidRPr="00ED4E4D">
              <w:t>organisatie, waardoor de kennis over ontstaan en bestrijding van brand wordt vergroot</w:t>
            </w:r>
            <w:r>
              <w:t>.</w:t>
            </w:r>
          </w:p>
        </w:tc>
        <w:tc>
          <w:tcPr>
            <w:tcW w:w="3575" w:type="dxa"/>
            <w:vMerge/>
          </w:tcPr>
          <w:p w:rsidR="00546C4B" w:rsidRPr="00EC12F6" w:rsidRDefault="00546C4B" w:rsidP="00243680"/>
        </w:tc>
      </w:tr>
      <w:tr w:rsidR="00546C4B" w:rsidRPr="00EC12F6" w:rsidTr="00243680">
        <w:tc>
          <w:tcPr>
            <w:tcW w:w="1942" w:type="dxa"/>
            <w:vMerge/>
            <w:tcBorders>
              <w:bottom w:val="single" w:sz="4" w:space="0" w:color="auto"/>
            </w:tcBorders>
          </w:tcPr>
          <w:p w:rsidR="00546C4B" w:rsidRPr="00EC12F6" w:rsidRDefault="00546C4B" w:rsidP="00243680"/>
        </w:tc>
        <w:tc>
          <w:tcPr>
            <w:tcW w:w="2807" w:type="dxa"/>
            <w:tcBorders>
              <w:bottom w:val="single" w:sz="4" w:space="0" w:color="auto"/>
            </w:tcBorders>
          </w:tcPr>
          <w:p w:rsidR="00546C4B" w:rsidRPr="00EC12F6" w:rsidRDefault="00546C4B" w:rsidP="00243680">
            <w:r>
              <w:t>Samenwerken</w:t>
            </w:r>
            <w:r w:rsidRPr="00EC12F6">
              <w:t xml:space="preserve"> met Schiphol, Tata Steel en </w:t>
            </w:r>
            <w:r>
              <w:t xml:space="preserve">partners in </w:t>
            </w:r>
            <w:r w:rsidRPr="00EC12F6">
              <w:t>Noordzeekanaal</w:t>
            </w:r>
            <w:r>
              <w:t>gebied</w:t>
            </w:r>
          </w:p>
        </w:tc>
        <w:tc>
          <w:tcPr>
            <w:tcW w:w="5896" w:type="dxa"/>
            <w:tcBorders>
              <w:bottom w:val="single" w:sz="4" w:space="0" w:color="auto"/>
            </w:tcBorders>
          </w:tcPr>
          <w:p w:rsidR="00546C4B" w:rsidRPr="00EC12F6" w:rsidRDefault="00903801" w:rsidP="00FB727F">
            <w:pPr>
              <w:numPr>
                <w:ilvl w:val="0"/>
                <w:numId w:val="22"/>
              </w:numPr>
            </w:pPr>
            <w:r w:rsidRPr="00ED4E4D">
              <w:t>Samenwerken op het gebied van opleiden en oefenen. Uitwisselen (digitale) informatie en op elkaar aansluiten van (operationele)processen</w:t>
            </w:r>
            <w:r>
              <w:t>.</w:t>
            </w:r>
          </w:p>
        </w:tc>
        <w:tc>
          <w:tcPr>
            <w:tcW w:w="3575" w:type="dxa"/>
            <w:vMerge/>
            <w:tcBorders>
              <w:bottom w:val="single" w:sz="4" w:space="0" w:color="auto"/>
            </w:tcBorders>
          </w:tcPr>
          <w:p w:rsidR="00546C4B" w:rsidRPr="00EC12F6" w:rsidRDefault="00546C4B" w:rsidP="00243680"/>
        </w:tc>
      </w:tr>
    </w:tbl>
    <w:p w:rsidR="00546C4B" w:rsidRPr="003542F3" w:rsidRDefault="00546C4B" w:rsidP="00546C4B">
      <w:pPr>
        <w:rPr>
          <w:b/>
        </w:rPr>
        <w:sectPr w:rsidR="00546C4B" w:rsidRPr="003542F3" w:rsidSect="00BF0184">
          <w:pgSz w:w="16838" w:h="11906" w:orient="landscape"/>
          <w:pgMar w:top="1417" w:right="1417" w:bottom="1417" w:left="1417" w:header="708" w:footer="708" w:gutter="0"/>
          <w:cols w:space="708"/>
          <w:docGrid w:linePitch="360"/>
        </w:sectPr>
      </w:pPr>
    </w:p>
    <w:p w:rsidR="00546C4B" w:rsidRDefault="00546C4B" w:rsidP="00546C4B">
      <w:pPr>
        <w:rPr>
          <w:b/>
        </w:rPr>
      </w:pPr>
      <w:r w:rsidRPr="003542F3">
        <w:rPr>
          <w:b/>
        </w:rPr>
        <w:lastRenderedPageBreak/>
        <w:t>Wat mag het kosten?</w:t>
      </w:r>
    </w:p>
    <w:p w:rsidR="00EE1B48" w:rsidRDefault="00EE1B48" w:rsidP="002001D1">
      <w:r w:rsidRPr="00EE1B48">
        <w:rPr>
          <w:noProof/>
          <w:lang w:eastAsia="nl-NL"/>
        </w:rPr>
        <w:drawing>
          <wp:inline distT="0" distB="0" distL="0" distR="0" wp14:anchorId="734B8742" wp14:editId="3390F70C">
            <wp:extent cx="5760720" cy="4928340"/>
            <wp:effectExtent l="0" t="0" r="0" b="571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4928340"/>
                    </a:xfrm>
                    <a:prstGeom prst="rect">
                      <a:avLst/>
                    </a:prstGeom>
                    <a:noFill/>
                    <a:ln>
                      <a:noFill/>
                    </a:ln>
                  </pic:spPr>
                </pic:pic>
              </a:graphicData>
            </a:graphic>
          </wp:inline>
        </w:drawing>
      </w:r>
    </w:p>
    <w:p w:rsidR="002001D1" w:rsidRDefault="00A44899" w:rsidP="002001D1">
      <w:pPr>
        <w:rPr>
          <w:b/>
        </w:rPr>
      </w:pPr>
      <w:r w:rsidRPr="00A44899">
        <w:rPr>
          <w:noProof/>
          <w:lang w:eastAsia="nl-NL"/>
        </w:rPr>
        <w:lastRenderedPageBreak/>
        <w:drawing>
          <wp:inline distT="0" distB="0" distL="0" distR="0">
            <wp:extent cx="5448300" cy="5762625"/>
            <wp:effectExtent l="0" t="0" r="0" b="952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5762625"/>
                    </a:xfrm>
                    <a:prstGeom prst="rect">
                      <a:avLst/>
                    </a:prstGeom>
                    <a:noFill/>
                    <a:ln>
                      <a:noFill/>
                    </a:ln>
                  </pic:spPr>
                </pic:pic>
              </a:graphicData>
            </a:graphic>
          </wp:inline>
        </w:drawing>
      </w:r>
      <w:r w:rsidR="00546C4B">
        <w:br w:type="page"/>
      </w:r>
    </w:p>
    <w:p w:rsidR="002001D1" w:rsidRPr="003518C3" w:rsidRDefault="002001D1" w:rsidP="003518C3">
      <w:pPr>
        <w:pStyle w:val="Kop2"/>
        <w:numPr>
          <w:ilvl w:val="1"/>
          <w:numId w:val="1"/>
        </w:numPr>
      </w:pPr>
      <w:bookmarkStart w:id="12" w:name="_Toc436144457"/>
      <w:bookmarkStart w:id="13" w:name="_Toc436837634"/>
      <w:bookmarkStart w:id="14" w:name="_Toc478655807"/>
      <w:r w:rsidRPr="00AA3992">
        <w:lastRenderedPageBreak/>
        <w:t>Programma</w:t>
      </w:r>
      <w:r w:rsidRPr="003518C3">
        <w:t xml:space="preserve"> Ambulancezorg</w:t>
      </w:r>
      <w:bookmarkEnd w:id="12"/>
      <w:bookmarkEnd w:id="13"/>
      <w:bookmarkEnd w:id="14"/>
    </w:p>
    <w:p w:rsidR="002001D1" w:rsidRPr="009A0D0B" w:rsidRDefault="002001D1" w:rsidP="00303FB6">
      <w:pPr>
        <w:pStyle w:val="Geenafstand"/>
      </w:pPr>
    </w:p>
    <w:p w:rsidR="002001D1" w:rsidRDefault="002001D1" w:rsidP="002001D1">
      <w:pPr>
        <w:rPr>
          <w:b/>
        </w:rPr>
      </w:pPr>
      <w:r w:rsidRPr="009A0D0B">
        <w:rPr>
          <w:b/>
        </w:rPr>
        <w:t>Ambitie van het programma</w:t>
      </w:r>
    </w:p>
    <w:p w:rsidR="00D047D0" w:rsidRPr="00FE3EE7" w:rsidRDefault="00D047D0" w:rsidP="00D047D0">
      <w:r w:rsidRPr="00FE3EE7">
        <w:t xml:space="preserve">Het leveren van hoogwaardige Ambulancezorg. Zorg die snel en op basis van de zorgbehoefte van de patiënt wordt geleverd en waarmee individuele gezondheidswinst wordt behaald. </w:t>
      </w:r>
    </w:p>
    <w:p w:rsidR="00D047D0" w:rsidRPr="00FE3EE7" w:rsidRDefault="00D047D0" w:rsidP="00D047D0">
      <w:pPr>
        <w:rPr>
          <w:b/>
        </w:rPr>
      </w:pPr>
      <w:r w:rsidRPr="00FE3EE7">
        <w:rPr>
          <w:b/>
        </w:rPr>
        <w:t>Uitgangspunten van beleid</w:t>
      </w:r>
    </w:p>
    <w:p w:rsidR="00D047D0" w:rsidRPr="00FE3EE7" w:rsidRDefault="00D047D0" w:rsidP="00FB727F">
      <w:pPr>
        <w:numPr>
          <w:ilvl w:val="0"/>
          <w:numId w:val="37"/>
        </w:numPr>
        <w:spacing w:before="100" w:beforeAutospacing="1" w:after="100" w:afterAutospacing="1" w:line="240" w:lineRule="auto"/>
        <w:rPr>
          <w:rFonts w:eastAsia="Times New Roman" w:cs="Times New Roman"/>
          <w:lang w:eastAsia="nl-NL"/>
        </w:rPr>
      </w:pPr>
      <w:r w:rsidRPr="00FE3EE7">
        <w:rPr>
          <w:rFonts w:eastAsia="Times New Roman" w:cs="Times New Roman"/>
          <w:lang w:eastAsia="nl-NL"/>
        </w:rPr>
        <w:t>Kostendekkend werken door efficiënt om te gaan met de ons beschikbaar gestelde middelen en het daarin zoeken naar verbeteringen.</w:t>
      </w:r>
    </w:p>
    <w:p w:rsidR="00D047D0" w:rsidRPr="00FE3EE7" w:rsidRDefault="00D047D0" w:rsidP="00FB727F">
      <w:pPr>
        <w:numPr>
          <w:ilvl w:val="0"/>
          <w:numId w:val="37"/>
        </w:numPr>
        <w:spacing w:before="100" w:beforeAutospacing="1" w:after="100" w:afterAutospacing="1" w:line="240" w:lineRule="auto"/>
        <w:rPr>
          <w:rFonts w:eastAsia="Times New Roman" w:cs="Times New Roman"/>
          <w:lang w:eastAsia="nl-NL"/>
        </w:rPr>
      </w:pPr>
      <w:r w:rsidRPr="00FE3EE7">
        <w:rPr>
          <w:rFonts w:eastAsia="Times New Roman" w:cs="Times New Roman"/>
          <w:lang w:eastAsia="nl-NL"/>
        </w:rPr>
        <w:t>Het zijn van een proactieve, betrouwbare en samenwerkingsgerichte partner zowel binnen de RAV Kennemerland als met partners uit de acute en opgeschaalde zorgketen.</w:t>
      </w:r>
    </w:p>
    <w:p w:rsidR="00D047D0" w:rsidRPr="00FE3EE7" w:rsidRDefault="00D047D0" w:rsidP="00FB727F">
      <w:pPr>
        <w:numPr>
          <w:ilvl w:val="0"/>
          <w:numId w:val="37"/>
        </w:numPr>
        <w:spacing w:before="100" w:beforeAutospacing="1" w:after="100" w:afterAutospacing="1" w:line="240" w:lineRule="auto"/>
        <w:rPr>
          <w:rFonts w:eastAsia="Times New Roman" w:cs="Times New Roman"/>
          <w:lang w:eastAsia="nl-NL"/>
        </w:rPr>
      </w:pPr>
      <w:r w:rsidRPr="00FE3EE7">
        <w:rPr>
          <w:rFonts w:eastAsia="Times New Roman" w:cs="Times New Roman"/>
          <w:lang w:eastAsia="nl-NL"/>
        </w:rPr>
        <w:t>Voorbereid en optimaal gepositioneerd zijn voor de overgang van de Tijdelijke Wet Ambulance Zorg (TWAZ) naar de Wet Ambulance Zorg (WAZ, verwachting 1 januari 2020) en voor de overgang naar de LMO (verwachting rond 2020)</w:t>
      </w:r>
    </w:p>
    <w:p w:rsidR="00D047D0" w:rsidRPr="00FE3EE7" w:rsidRDefault="00D047D0" w:rsidP="00D047D0">
      <w:pPr>
        <w:ind w:left="360"/>
      </w:pPr>
      <w:r w:rsidRPr="00FE3EE7">
        <w:rPr>
          <w:b/>
        </w:rPr>
        <w:t>Relevante Beleidsnotities en wettelijk kader</w:t>
      </w:r>
    </w:p>
    <w:p w:rsidR="00D047D0" w:rsidRPr="00FE3EE7" w:rsidRDefault="00D047D0" w:rsidP="00FB727F">
      <w:pPr>
        <w:numPr>
          <w:ilvl w:val="0"/>
          <w:numId w:val="38"/>
        </w:numPr>
        <w:contextualSpacing/>
      </w:pPr>
      <w:r w:rsidRPr="00FE3EE7">
        <w:t xml:space="preserve">Regionaal Ambulance Plan </w:t>
      </w:r>
      <w:r>
        <w:t>2017-2019</w:t>
      </w:r>
      <w:r w:rsidRPr="00FE3EE7">
        <w:t>, strategische beleidsplan RAV Kennem</w:t>
      </w:r>
      <w:r>
        <w:t xml:space="preserve">erland </w:t>
      </w:r>
    </w:p>
    <w:p w:rsidR="00D047D0" w:rsidRPr="00FE3EE7" w:rsidRDefault="00D047D0" w:rsidP="00FB727F">
      <w:pPr>
        <w:numPr>
          <w:ilvl w:val="0"/>
          <w:numId w:val="38"/>
        </w:numPr>
        <w:contextualSpacing/>
      </w:pPr>
      <w:r w:rsidRPr="00FE3EE7">
        <w:t>Regionaal Opleidingsplan 2016-2017, strategische beleidsnotitie opleidingen RAV Kennemerland</w:t>
      </w:r>
      <w:r>
        <w:t xml:space="preserve"> (ROP 2018-2019 wordt in 2017 opgesteld)</w:t>
      </w:r>
    </w:p>
    <w:p w:rsidR="00D047D0" w:rsidRPr="00FE3EE7" w:rsidRDefault="00D047D0" w:rsidP="00FB727F">
      <w:pPr>
        <w:numPr>
          <w:ilvl w:val="0"/>
          <w:numId w:val="38"/>
        </w:numPr>
        <w:contextualSpacing/>
      </w:pPr>
      <w:r w:rsidRPr="00FE3EE7">
        <w:t>Veiligheidsmanagementsysteem, visiedocument RAV Kennemerland</w:t>
      </w:r>
    </w:p>
    <w:p w:rsidR="00D047D0" w:rsidRPr="00FE3EE7" w:rsidRDefault="00D047D0" w:rsidP="00FB727F">
      <w:pPr>
        <w:numPr>
          <w:ilvl w:val="0"/>
          <w:numId w:val="38"/>
        </w:numPr>
        <w:contextualSpacing/>
      </w:pPr>
      <w:r w:rsidRPr="00FE3EE7">
        <w:t>Beleidsnotities van VWS, ZN en AZN omtrent de ordeningsstructuur van de Ambulancezorg in het kader van de overgang van TWAZ naar WAZ</w:t>
      </w:r>
    </w:p>
    <w:p w:rsidR="00D047D0" w:rsidRPr="00FE3EE7" w:rsidRDefault="00D047D0" w:rsidP="00FB727F">
      <w:pPr>
        <w:numPr>
          <w:ilvl w:val="0"/>
          <w:numId w:val="38"/>
        </w:numPr>
        <w:contextualSpacing/>
      </w:pPr>
      <w:r w:rsidRPr="00FE3EE7">
        <w:t>Beleidsnotities</w:t>
      </w:r>
      <w:r w:rsidR="005615F6">
        <w:t xml:space="preserve"> </w:t>
      </w:r>
      <w:r w:rsidRPr="00FE3EE7">
        <w:t>met betrekking tot de LMO</w:t>
      </w:r>
    </w:p>
    <w:p w:rsidR="00D047D0" w:rsidRDefault="00D047D0" w:rsidP="00D047D0">
      <w:pPr>
        <w:rPr>
          <w:b/>
        </w:rPr>
      </w:pPr>
    </w:p>
    <w:p w:rsidR="00D047D0" w:rsidRDefault="00D047D0" w:rsidP="00D047D0">
      <w:pPr>
        <w:rPr>
          <w:b/>
        </w:rPr>
      </w:pPr>
      <w:r w:rsidRPr="00FE3EE7">
        <w:rPr>
          <w:b/>
        </w:rPr>
        <w:t xml:space="preserve">Risico’s </w:t>
      </w:r>
    </w:p>
    <w:tbl>
      <w:tblPr>
        <w:tblStyle w:val="Tabelraster"/>
        <w:tblW w:w="0" w:type="auto"/>
        <w:tblLook w:val="04A0" w:firstRow="1" w:lastRow="0" w:firstColumn="1" w:lastColumn="0" w:noHBand="0" w:noVBand="1"/>
      </w:tblPr>
      <w:tblGrid>
        <w:gridCol w:w="2376"/>
        <w:gridCol w:w="6804"/>
      </w:tblGrid>
      <w:tr w:rsidR="00D047D0" w:rsidRPr="00FE3EE7" w:rsidTr="001434D1">
        <w:tc>
          <w:tcPr>
            <w:tcW w:w="2376" w:type="dxa"/>
            <w:shd w:val="clear" w:color="auto" w:fill="C6D9F1" w:themeFill="text2" w:themeFillTint="33"/>
          </w:tcPr>
          <w:p w:rsidR="00D047D0" w:rsidRPr="00FE3EE7" w:rsidRDefault="00D047D0" w:rsidP="001434D1">
            <w:r w:rsidRPr="00FE3EE7">
              <w:t>Risico</w:t>
            </w:r>
          </w:p>
        </w:tc>
        <w:tc>
          <w:tcPr>
            <w:tcW w:w="6804" w:type="dxa"/>
            <w:shd w:val="clear" w:color="auto" w:fill="C6D9F1" w:themeFill="text2" w:themeFillTint="33"/>
          </w:tcPr>
          <w:p w:rsidR="00D047D0" w:rsidRPr="00FE3EE7" w:rsidRDefault="00D047D0" w:rsidP="001434D1">
            <w:r w:rsidRPr="00FE3EE7">
              <w:t>Beheersmaatregel</w:t>
            </w:r>
          </w:p>
        </w:tc>
      </w:tr>
      <w:tr w:rsidR="00D047D0" w:rsidRPr="00FE3EE7" w:rsidTr="001434D1">
        <w:tc>
          <w:tcPr>
            <w:tcW w:w="2376" w:type="dxa"/>
          </w:tcPr>
          <w:p w:rsidR="00D047D0" w:rsidRPr="00FE3EE7" w:rsidRDefault="00D047D0" w:rsidP="001434D1">
            <w:r w:rsidRPr="00FE3EE7">
              <w:t>Continuïteit Ambulancezorg/VRK</w:t>
            </w:r>
          </w:p>
        </w:tc>
        <w:tc>
          <w:tcPr>
            <w:tcW w:w="6804" w:type="dxa"/>
          </w:tcPr>
          <w:p w:rsidR="00D047D0" w:rsidRPr="00FE3EE7" w:rsidRDefault="00D047D0" w:rsidP="00FB727F">
            <w:pPr>
              <w:numPr>
                <w:ilvl w:val="0"/>
                <w:numId w:val="42"/>
              </w:numPr>
              <w:ind w:left="318" w:hanging="284"/>
              <w:contextualSpacing/>
            </w:pPr>
            <w:r w:rsidRPr="00FE3EE7">
              <w:t>Bedrijfsvoering op orde</w:t>
            </w:r>
            <w:r w:rsidR="007534FC">
              <w:t xml:space="preserve"> houden</w:t>
            </w:r>
          </w:p>
          <w:p w:rsidR="00D047D0" w:rsidRPr="00FE3EE7" w:rsidRDefault="00D047D0" w:rsidP="00FB727F">
            <w:pPr>
              <w:numPr>
                <w:ilvl w:val="0"/>
                <w:numId w:val="42"/>
              </w:numPr>
              <w:ind w:left="318" w:hanging="284"/>
              <w:contextualSpacing/>
            </w:pPr>
            <w:r w:rsidRPr="00FE3EE7">
              <w:t>Participeren in bestuurlijke overlegvormen t.a.v. ordeningsstructuur Ambulancezorg onder WAZ</w:t>
            </w:r>
          </w:p>
        </w:tc>
      </w:tr>
      <w:tr w:rsidR="00D047D0" w:rsidRPr="00FE3EE7" w:rsidTr="001434D1">
        <w:tc>
          <w:tcPr>
            <w:tcW w:w="2376" w:type="dxa"/>
          </w:tcPr>
          <w:p w:rsidR="00D047D0" w:rsidRPr="00FE3EE7" w:rsidRDefault="00D047D0" w:rsidP="001434D1">
            <w:r w:rsidRPr="00FE3EE7">
              <w:t>Uitval ICT, m.n. lokaal</w:t>
            </w:r>
          </w:p>
        </w:tc>
        <w:tc>
          <w:tcPr>
            <w:tcW w:w="6804" w:type="dxa"/>
          </w:tcPr>
          <w:p w:rsidR="00D047D0" w:rsidRPr="00FE3EE7" w:rsidRDefault="00D047D0" w:rsidP="00FB727F">
            <w:pPr>
              <w:numPr>
                <w:ilvl w:val="0"/>
                <w:numId w:val="43"/>
              </w:numPr>
              <w:ind w:left="318" w:hanging="284"/>
              <w:contextualSpacing/>
            </w:pPr>
            <w:r w:rsidRPr="00FE3EE7">
              <w:t xml:space="preserve">Outsourcen neemt toe (met </w:t>
            </w:r>
            <w:proofErr w:type="spellStart"/>
            <w:r w:rsidRPr="00FE3EE7">
              <w:t>SLA’s</w:t>
            </w:r>
            <w:proofErr w:type="spellEnd"/>
            <w:r w:rsidRPr="00FE3EE7">
              <w:t xml:space="preserve"> en contracten)</w:t>
            </w:r>
          </w:p>
          <w:p w:rsidR="00D047D0" w:rsidRPr="00FE3EE7" w:rsidRDefault="00D047D0" w:rsidP="00FB727F">
            <w:pPr>
              <w:numPr>
                <w:ilvl w:val="0"/>
                <w:numId w:val="43"/>
              </w:numPr>
              <w:ind w:left="318" w:hanging="284"/>
              <w:contextualSpacing/>
            </w:pPr>
            <w:r w:rsidRPr="00FE3EE7">
              <w:t>Business Impact Analyse (BIA) voor Ambulancezorg is opgesteld, beheersmaatregelen uit BIA zijn getroffen</w:t>
            </w:r>
          </w:p>
        </w:tc>
      </w:tr>
      <w:tr w:rsidR="00D047D0" w:rsidRPr="00FE3EE7" w:rsidTr="001434D1">
        <w:tc>
          <w:tcPr>
            <w:tcW w:w="2376" w:type="dxa"/>
          </w:tcPr>
          <w:p w:rsidR="00D047D0" w:rsidRPr="00FE3EE7" w:rsidRDefault="00D047D0" w:rsidP="001434D1">
            <w:r w:rsidRPr="00FE3EE7">
              <w:t>Onvoldoende (deskundig) personeel</w:t>
            </w:r>
          </w:p>
        </w:tc>
        <w:tc>
          <w:tcPr>
            <w:tcW w:w="6804" w:type="dxa"/>
          </w:tcPr>
          <w:p w:rsidR="00D047D0" w:rsidRPr="00FE3EE7" w:rsidRDefault="00D047D0" w:rsidP="00FB727F">
            <w:pPr>
              <w:numPr>
                <w:ilvl w:val="0"/>
                <w:numId w:val="44"/>
              </w:numPr>
              <w:ind w:left="317" w:hanging="284"/>
              <w:contextualSpacing/>
            </w:pPr>
            <w:r w:rsidRPr="00FE3EE7">
              <w:t>Periodieke Arbeidsgeneeskundige Monitor (PAM) en loopbaangesprekken vinden structureel plaats.</w:t>
            </w:r>
          </w:p>
          <w:p w:rsidR="00D047D0" w:rsidRPr="00FE3EE7" w:rsidRDefault="00D047D0" w:rsidP="00FB727F">
            <w:pPr>
              <w:numPr>
                <w:ilvl w:val="0"/>
                <w:numId w:val="44"/>
              </w:numPr>
              <w:ind w:left="317" w:hanging="284"/>
              <w:contextualSpacing/>
            </w:pPr>
            <w:r w:rsidRPr="00FE3EE7">
              <w:t>Opleiding in kader loopbaanontwikkeling wordt gestimuleerd en gefaciliteerd</w:t>
            </w:r>
          </w:p>
          <w:p w:rsidR="00D047D0" w:rsidRPr="00FE3EE7" w:rsidRDefault="00D047D0" w:rsidP="00FB727F">
            <w:pPr>
              <w:numPr>
                <w:ilvl w:val="0"/>
                <w:numId w:val="44"/>
              </w:numPr>
              <w:ind w:left="317" w:hanging="284"/>
              <w:contextualSpacing/>
            </w:pPr>
            <w:r w:rsidRPr="00FE3EE7">
              <w:t xml:space="preserve">Bieden van sportfaciliteiten </w:t>
            </w:r>
          </w:p>
          <w:p w:rsidR="00D047D0" w:rsidRPr="00FE3EE7" w:rsidRDefault="00D047D0" w:rsidP="00FB727F">
            <w:pPr>
              <w:numPr>
                <w:ilvl w:val="0"/>
                <w:numId w:val="44"/>
              </w:numPr>
              <w:ind w:left="317" w:hanging="284"/>
              <w:contextualSpacing/>
            </w:pPr>
            <w:r w:rsidRPr="00FE3EE7">
              <w:t>Duurzame inzetbaarheid onderdeel CAO Ambulancezorg 2015-2018, wordt uitgewerkt in 2016.</w:t>
            </w:r>
          </w:p>
        </w:tc>
      </w:tr>
    </w:tbl>
    <w:p w:rsidR="00D047D0" w:rsidRPr="009A0D0B" w:rsidRDefault="00D047D0" w:rsidP="002001D1">
      <w:pPr>
        <w:rPr>
          <w:b/>
        </w:rPr>
      </w:pPr>
    </w:p>
    <w:p w:rsidR="0083605B" w:rsidRDefault="0083605B" w:rsidP="002001D1">
      <w:pPr>
        <w:rPr>
          <w:b/>
        </w:rPr>
      </w:pPr>
    </w:p>
    <w:p w:rsidR="00D047D0" w:rsidRDefault="00D047D0" w:rsidP="002001D1">
      <w:pPr>
        <w:rPr>
          <w:b/>
        </w:rPr>
        <w:sectPr w:rsidR="00D047D0" w:rsidSect="001B4283">
          <w:footerReference w:type="default" r:id="rId19"/>
          <w:pgSz w:w="11906" w:h="16838"/>
          <w:pgMar w:top="1417" w:right="1417" w:bottom="1417" w:left="1417" w:header="708" w:footer="708" w:gutter="0"/>
          <w:cols w:space="708"/>
          <w:docGrid w:linePitch="360"/>
        </w:sectPr>
      </w:pPr>
    </w:p>
    <w:p w:rsidR="002001D1" w:rsidRDefault="002001D1" w:rsidP="002001D1">
      <w:pPr>
        <w:rPr>
          <w:b/>
        </w:rPr>
      </w:pPr>
      <w:r w:rsidRPr="009A0D0B">
        <w:rPr>
          <w:b/>
        </w:rPr>
        <w:lastRenderedPageBreak/>
        <w:t>Doelenboom</w:t>
      </w:r>
    </w:p>
    <w:tbl>
      <w:tblPr>
        <w:tblStyle w:val="Tabelraster10"/>
        <w:tblW w:w="0" w:type="auto"/>
        <w:tblLook w:val="04A0" w:firstRow="1" w:lastRow="0" w:firstColumn="1" w:lastColumn="0" w:noHBand="0" w:noVBand="1"/>
      </w:tblPr>
      <w:tblGrid>
        <w:gridCol w:w="1951"/>
        <w:gridCol w:w="62"/>
        <w:gridCol w:w="2763"/>
        <w:gridCol w:w="5810"/>
        <w:gridCol w:w="3634"/>
      </w:tblGrid>
      <w:tr w:rsidR="00D047D0" w:rsidRPr="00D047D0" w:rsidTr="001434D1">
        <w:tc>
          <w:tcPr>
            <w:tcW w:w="4776" w:type="dxa"/>
            <w:gridSpan w:val="3"/>
          </w:tcPr>
          <w:p w:rsidR="00D047D0" w:rsidRPr="00D047D0" w:rsidRDefault="00D047D0" w:rsidP="00D047D0">
            <w:pPr>
              <w:rPr>
                <w:i/>
              </w:rPr>
            </w:pPr>
            <w:r w:rsidRPr="00D047D0">
              <w:rPr>
                <w:i/>
              </w:rPr>
              <w:t>Wat willen we bereiken</w:t>
            </w:r>
          </w:p>
        </w:tc>
        <w:tc>
          <w:tcPr>
            <w:tcW w:w="5810" w:type="dxa"/>
          </w:tcPr>
          <w:p w:rsidR="00D047D0" w:rsidRPr="00D047D0" w:rsidRDefault="00D047D0" w:rsidP="00D047D0">
            <w:pPr>
              <w:rPr>
                <w:i/>
              </w:rPr>
            </w:pPr>
            <w:r w:rsidRPr="00D047D0">
              <w:rPr>
                <w:i/>
              </w:rPr>
              <w:t>Wat gaan we er voor doen</w:t>
            </w:r>
          </w:p>
        </w:tc>
        <w:tc>
          <w:tcPr>
            <w:tcW w:w="3634" w:type="dxa"/>
            <w:vMerge w:val="restart"/>
          </w:tcPr>
          <w:p w:rsidR="00D047D0" w:rsidRPr="00D047D0" w:rsidRDefault="00D047D0" w:rsidP="00D047D0">
            <w:pPr>
              <w:rPr>
                <w:i/>
              </w:rPr>
            </w:pPr>
            <w:r w:rsidRPr="00D047D0">
              <w:rPr>
                <w:i/>
              </w:rPr>
              <w:t>Wat is het beoogd maatschappelijk effect</w:t>
            </w:r>
          </w:p>
        </w:tc>
      </w:tr>
      <w:tr w:rsidR="00D047D0" w:rsidRPr="00D047D0" w:rsidTr="001434D1">
        <w:tc>
          <w:tcPr>
            <w:tcW w:w="2013" w:type="dxa"/>
            <w:gridSpan w:val="2"/>
          </w:tcPr>
          <w:p w:rsidR="00D047D0" w:rsidRPr="00D047D0" w:rsidRDefault="00D047D0" w:rsidP="00D047D0">
            <w:r w:rsidRPr="00D047D0">
              <w:t>Strategisch doel</w:t>
            </w:r>
          </w:p>
        </w:tc>
        <w:tc>
          <w:tcPr>
            <w:tcW w:w="2763" w:type="dxa"/>
          </w:tcPr>
          <w:p w:rsidR="00D047D0" w:rsidRPr="00D047D0" w:rsidRDefault="00D047D0" w:rsidP="00D047D0">
            <w:r w:rsidRPr="00D047D0">
              <w:t>Operationeel doel</w:t>
            </w:r>
          </w:p>
        </w:tc>
        <w:tc>
          <w:tcPr>
            <w:tcW w:w="5810" w:type="dxa"/>
          </w:tcPr>
          <w:p w:rsidR="00D047D0" w:rsidRPr="00D047D0" w:rsidRDefault="00D047D0" w:rsidP="00D047D0">
            <w:r w:rsidRPr="00D047D0">
              <w:t>Prestatie 2018-2021</w:t>
            </w:r>
          </w:p>
        </w:tc>
        <w:tc>
          <w:tcPr>
            <w:tcW w:w="3634" w:type="dxa"/>
            <w:vMerge/>
          </w:tcPr>
          <w:p w:rsidR="00D047D0" w:rsidRPr="00D047D0" w:rsidRDefault="00D047D0" w:rsidP="00D047D0"/>
        </w:tc>
      </w:tr>
      <w:tr w:rsidR="00D047D0" w:rsidRPr="00D047D0" w:rsidTr="001434D1">
        <w:tc>
          <w:tcPr>
            <w:tcW w:w="14220" w:type="dxa"/>
            <w:gridSpan w:val="5"/>
            <w:shd w:val="clear" w:color="auto" w:fill="C6D9F1" w:themeFill="text2" w:themeFillTint="33"/>
          </w:tcPr>
          <w:p w:rsidR="00D047D0" w:rsidRPr="00D047D0" w:rsidRDefault="00D047D0" w:rsidP="00D047D0"/>
        </w:tc>
      </w:tr>
      <w:tr w:rsidR="00D047D0" w:rsidRPr="00D047D0" w:rsidTr="001434D1">
        <w:tc>
          <w:tcPr>
            <w:tcW w:w="1951" w:type="dxa"/>
            <w:vMerge w:val="restart"/>
          </w:tcPr>
          <w:p w:rsidR="00D047D0" w:rsidRPr="00D047D0" w:rsidRDefault="00D047D0" w:rsidP="00D047D0">
            <w:r w:rsidRPr="00D047D0">
              <w:t>Het leveren van hoogwaardige Ambulancezorg</w:t>
            </w:r>
          </w:p>
        </w:tc>
        <w:tc>
          <w:tcPr>
            <w:tcW w:w="2825" w:type="dxa"/>
            <w:gridSpan w:val="2"/>
          </w:tcPr>
          <w:p w:rsidR="00D047D0" w:rsidRPr="00D047D0" w:rsidRDefault="00D047D0" w:rsidP="00D047D0">
            <w:r w:rsidRPr="00D047D0">
              <w:t>Ambulancezorg leveren volgens de landelijke standaard</w:t>
            </w:r>
          </w:p>
        </w:tc>
        <w:tc>
          <w:tcPr>
            <w:tcW w:w="5810" w:type="dxa"/>
          </w:tcPr>
          <w:p w:rsidR="00D047D0" w:rsidRPr="00D047D0" w:rsidRDefault="00D047D0" w:rsidP="00FB727F">
            <w:pPr>
              <w:numPr>
                <w:ilvl w:val="0"/>
                <w:numId w:val="39"/>
              </w:numPr>
              <w:contextualSpacing/>
            </w:pPr>
            <w:r w:rsidRPr="00D047D0">
              <w:t>Landelijk protocol volgen</w:t>
            </w:r>
          </w:p>
          <w:p w:rsidR="00D047D0" w:rsidRPr="00D047D0" w:rsidRDefault="00D047D0" w:rsidP="00FB727F">
            <w:pPr>
              <w:numPr>
                <w:ilvl w:val="0"/>
                <w:numId w:val="39"/>
              </w:numPr>
              <w:contextualSpacing/>
            </w:pPr>
            <w:r w:rsidRPr="00D047D0">
              <w:t xml:space="preserve">Meldkamer doet aanname conform protocol </w:t>
            </w:r>
            <w:proofErr w:type="spellStart"/>
            <w:r w:rsidRPr="00D047D0">
              <w:t>ProQA</w:t>
            </w:r>
            <w:proofErr w:type="spellEnd"/>
          </w:p>
          <w:p w:rsidR="00D047D0" w:rsidRPr="00D047D0" w:rsidRDefault="00D047D0" w:rsidP="00FB727F">
            <w:pPr>
              <w:numPr>
                <w:ilvl w:val="0"/>
                <w:numId w:val="39"/>
              </w:numPr>
              <w:contextualSpacing/>
            </w:pPr>
            <w:r w:rsidRPr="00D047D0">
              <w:t>Bij spoed in minimaal 95% van de gevallen binnen 15 minuten ter plaatse</w:t>
            </w:r>
          </w:p>
          <w:p w:rsidR="00D047D0" w:rsidRPr="00D047D0" w:rsidRDefault="00D047D0" w:rsidP="00FB727F">
            <w:pPr>
              <w:numPr>
                <w:ilvl w:val="0"/>
                <w:numId w:val="39"/>
              </w:numPr>
              <w:contextualSpacing/>
            </w:pPr>
            <w:r w:rsidRPr="00D047D0">
              <w:t xml:space="preserve">Het uitvoeren van niet-spoed en besteld vervoer </w:t>
            </w:r>
          </w:p>
          <w:p w:rsidR="00D047D0" w:rsidRPr="00D047D0" w:rsidRDefault="00D047D0" w:rsidP="00FB727F">
            <w:pPr>
              <w:numPr>
                <w:ilvl w:val="0"/>
                <w:numId w:val="39"/>
              </w:numPr>
              <w:contextualSpacing/>
            </w:pPr>
            <w:r w:rsidRPr="00D047D0">
              <w:t>Chauffeurs en verpleegkundigen vakbekwaam houden</w:t>
            </w:r>
          </w:p>
          <w:p w:rsidR="00D047D0" w:rsidRPr="00D047D0" w:rsidRDefault="00D047D0" w:rsidP="00FB727F">
            <w:pPr>
              <w:numPr>
                <w:ilvl w:val="0"/>
                <w:numId w:val="39"/>
              </w:numPr>
              <w:contextualSpacing/>
            </w:pPr>
            <w:r w:rsidRPr="00D047D0">
              <w:t>24/7 paraatheidsrooster cf. dekking</w:t>
            </w:r>
          </w:p>
        </w:tc>
        <w:tc>
          <w:tcPr>
            <w:tcW w:w="3634" w:type="dxa"/>
            <w:vMerge w:val="restart"/>
          </w:tcPr>
          <w:p w:rsidR="00D047D0" w:rsidRPr="00D047D0" w:rsidRDefault="00D047D0" w:rsidP="00D047D0">
            <w:r w:rsidRPr="00D047D0">
              <w:t>Het behalen van individuele gezondheidswinst op basis van de zorgbehoefte van de patiënt.</w:t>
            </w:r>
          </w:p>
        </w:tc>
      </w:tr>
      <w:tr w:rsidR="00D047D0" w:rsidRPr="00D047D0" w:rsidTr="001434D1">
        <w:tc>
          <w:tcPr>
            <w:tcW w:w="1951" w:type="dxa"/>
            <w:vMerge/>
          </w:tcPr>
          <w:p w:rsidR="00D047D0" w:rsidRPr="00D047D0" w:rsidRDefault="00D047D0" w:rsidP="00D047D0"/>
        </w:tc>
        <w:tc>
          <w:tcPr>
            <w:tcW w:w="2825" w:type="dxa"/>
            <w:gridSpan w:val="2"/>
          </w:tcPr>
          <w:p w:rsidR="00D047D0" w:rsidRPr="00D047D0" w:rsidRDefault="00D047D0" w:rsidP="00D047D0">
            <w:r w:rsidRPr="00D047D0">
              <w:t xml:space="preserve">Innoveren </w:t>
            </w:r>
          </w:p>
        </w:tc>
        <w:tc>
          <w:tcPr>
            <w:tcW w:w="5810" w:type="dxa"/>
          </w:tcPr>
          <w:p w:rsidR="00D047D0" w:rsidRPr="00D047D0" w:rsidRDefault="00D047D0" w:rsidP="00DB3232">
            <w:pPr>
              <w:numPr>
                <w:ilvl w:val="0"/>
                <w:numId w:val="40"/>
              </w:numPr>
              <w:contextualSpacing/>
            </w:pPr>
            <w:r w:rsidRPr="00D047D0">
              <w:t xml:space="preserve">2 innovatieve projecten per jaar </w:t>
            </w:r>
          </w:p>
        </w:tc>
        <w:tc>
          <w:tcPr>
            <w:tcW w:w="3634" w:type="dxa"/>
            <w:vMerge/>
          </w:tcPr>
          <w:p w:rsidR="00D047D0" w:rsidRPr="00D047D0" w:rsidRDefault="00D047D0" w:rsidP="00D047D0"/>
        </w:tc>
      </w:tr>
      <w:tr w:rsidR="00D047D0" w:rsidRPr="00D047D0" w:rsidTr="001434D1">
        <w:tc>
          <w:tcPr>
            <w:tcW w:w="14220" w:type="dxa"/>
            <w:gridSpan w:val="5"/>
            <w:shd w:val="clear" w:color="auto" w:fill="C6D9F1" w:themeFill="text2" w:themeFillTint="33"/>
          </w:tcPr>
          <w:p w:rsidR="00D047D0" w:rsidRPr="00D047D0" w:rsidRDefault="00D047D0" w:rsidP="00D047D0"/>
        </w:tc>
      </w:tr>
      <w:tr w:rsidR="00D047D0" w:rsidRPr="00D047D0" w:rsidTr="001434D1">
        <w:tc>
          <w:tcPr>
            <w:tcW w:w="1951" w:type="dxa"/>
            <w:vMerge w:val="restart"/>
          </w:tcPr>
          <w:p w:rsidR="00D047D0" w:rsidRPr="00D047D0" w:rsidRDefault="00D047D0" w:rsidP="00D047D0">
            <w:r w:rsidRPr="00D047D0">
              <w:t xml:space="preserve">Leveren van meerwaarde aan partners (RAV Kennemerland, acute ketenzorg, opgeschaalde zorg en GGD) </w:t>
            </w:r>
          </w:p>
        </w:tc>
        <w:tc>
          <w:tcPr>
            <w:tcW w:w="2825" w:type="dxa"/>
            <w:gridSpan w:val="2"/>
          </w:tcPr>
          <w:p w:rsidR="00D047D0" w:rsidRPr="00D047D0" w:rsidRDefault="00D047D0" w:rsidP="00D047D0">
            <w:r w:rsidRPr="00D047D0">
              <w:t xml:space="preserve">Fungeren als medische “ogen en oren” en hier actie op laten nemen. </w:t>
            </w:r>
          </w:p>
        </w:tc>
        <w:tc>
          <w:tcPr>
            <w:tcW w:w="5810" w:type="dxa"/>
          </w:tcPr>
          <w:p w:rsidR="00D047D0" w:rsidRPr="00D047D0" w:rsidRDefault="00D047D0" w:rsidP="00FB727F">
            <w:pPr>
              <w:numPr>
                <w:ilvl w:val="0"/>
                <w:numId w:val="41"/>
              </w:numPr>
              <w:contextualSpacing/>
            </w:pPr>
            <w:r w:rsidRPr="00D047D0">
              <w:t>Doen van meldingen van kindermishandeling en huiselijk geweld</w:t>
            </w:r>
          </w:p>
          <w:p w:rsidR="00D047D0" w:rsidRPr="00D047D0" w:rsidRDefault="00D047D0" w:rsidP="00FB727F">
            <w:pPr>
              <w:numPr>
                <w:ilvl w:val="0"/>
                <w:numId w:val="41"/>
              </w:numPr>
              <w:contextualSpacing/>
            </w:pPr>
            <w:r w:rsidRPr="00D047D0">
              <w:t xml:space="preserve">Doen van meldingen van vervuiling huishoudens </w:t>
            </w:r>
          </w:p>
          <w:p w:rsidR="00D047D0" w:rsidRPr="00D047D0" w:rsidRDefault="00D047D0" w:rsidP="00FB727F">
            <w:pPr>
              <w:numPr>
                <w:ilvl w:val="0"/>
                <w:numId w:val="41"/>
              </w:numPr>
              <w:contextualSpacing/>
            </w:pPr>
            <w:r w:rsidRPr="00D047D0">
              <w:t>Signaleren van trends en ontwikkelingen van medische situaties</w:t>
            </w:r>
          </w:p>
        </w:tc>
        <w:tc>
          <w:tcPr>
            <w:tcW w:w="3634" w:type="dxa"/>
            <w:vMerge w:val="restart"/>
          </w:tcPr>
          <w:p w:rsidR="00D047D0" w:rsidRPr="00D047D0" w:rsidRDefault="00D047D0" w:rsidP="00D047D0">
            <w:r w:rsidRPr="00D047D0">
              <w:t>Doelmatige, goed afgestemde keten van diensten op het gebied van acute en opgeschaalde gezondheidszorg</w:t>
            </w:r>
          </w:p>
          <w:p w:rsidR="00D047D0" w:rsidRPr="00D047D0" w:rsidRDefault="00D047D0" w:rsidP="00D047D0"/>
          <w:p w:rsidR="00D047D0" w:rsidRPr="00D047D0" w:rsidRDefault="00D047D0" w:rsidP="00D047D0"/>
          <w:p w:rsidR="00D047D0" w:rsidRPr="00D047D0" w:rsidRDefault="00D047D0" w:rsidP="00D047D0"/>
          <w:p w:rsidR="00D047D0" w:rsidRPr="00D047D0" w:rsidRDefault="00D047D0" w:rsidP="00D047D0"/>
          <w:p w:rsidR="00D047D0" w:rsidRPr="00D047D0" w:rsidRDefault="00D047D0" w:rsidP="00D047D0"/>
          <w:p w:rsidR="00D047D0" w:rsidRPr="00D047D0" w:rsidRDefault="00D047D0" w:rsidP="00D047D0"/>
          <w:p w:rsidR="00D047D0" w:rsidRPr="00D047D0" w:rsidRDefault="00D047D0" w:rsidP="00D047D0"/>
        </w:tc>
      </w:tr>
      <w:tr w:rsidR="00D047D0" w:rsidRPr="00D047D0" w:rsidTr="001434D1">
        <w:tc>
          <w:tcPr>
            <w:tcW w:w="1951" w:type="dxa"/>
            <w:vMerge/>
          </w:tcPr>
          <w:p w:rsidR="00D047D0" w:rsidRPr="00D047D0" w:rsidRDefault="00D047D0" w:rsidP="00D047D0"/>
        </w:tc>
        <w:tc>
          <w:tcPr>
            <w:tcW w:w="2825" w:type="dxa"/>
            <w:gridSpan w:val="2"/>
          </w:tcPr>
          <w:p w:rsidR="00D047D0" w:rsidRPr="00D047D0" w:rsidRDefault="00D047D0" w:rsidP="00D047D0">
            <w:r w:rsidRPr="00D047D0">
              <w:t>Verbeteren samenwerking met partners in de acute ketenzorg (ziekenhuizen, GGZ en HAP)</w:t>
            </w:r>
          </w:p>
        </w:tc>
        <w:tc>
          <w:tcPr>
            <w:tcW w:w="5810" w:type="dxa"/>
          </w:tcPr>
          <w:p w:rsidR="00D047D0" w:rsidRPr="00D047D0" w:rsidRDefault="00D047D0" w:rsidP="00FB727F">
            <w:pPr>
              <w:numPr>
                <w:ilvl w:val="0"/>
                <w:numId w:val="45"/>
              </w:numPr>
              <w:ind w:left="327" w:hanging="283"/>
              <w:contextualSpacing/>
            </w:pPr>
            <w:r w:rsidRPr="00D047D0">
              <w:t xml:space="preserve">Uitlijnen afspraken vanuit Regionaal Overleg Acute Zorg (ROAZ) naar Bestuurlijk Overleg Acute Zorg (BOAZ) en naar Ketenpartner Overleg (KPO), en </w:t>
            </w:r>
            <w:proofErr w:type="spellStart"/>
            <w:r w:rsidRPr="00D047D0">
              <w:t>vice</w:t>
            </w:r>
            <w:proofErr w:type="spellEnd"/>
            <w:r w:rsidRPr="00D047D0">
              <w:t xml:space="preserve"> versa.</w:t>
            </w:r>
          </w:p>
          <w:p w:rsidR="00D047D0" w:rsidRPr="00D047D0" w:rsidRDefault="00D047D0" w:rsidP="00D047D0">
            <w:pPr>
              <w:ind w:left="327"/>
              <w:contextualSpacing/>
            </w:pPr>
          </w:p>
        </w:tc>
        <w:tc>
          <w:tcPr>
            <w:tcW w:w="3634" w:type="dxa"/>
            <w:vMerge/>
          </w:tcPr>
          <w:p w:rsidR="00D047D0" w:rsidRPr="00D047D0" w:rsidRDefault="00D047D0" w:rsidP="00D047D0"/>
        </w:tc>
      </w:tr>
      <w:tr w:rsidR="00D047D0" w:rsidRPr="00D047D0" w:rsidTr="001434D1">
        <w:tc>
          <w:tcPr>
            <w:tcW w:w="1951" w:type="dxa"/>
            <w:vMerge/>
            <w:tcBorders>
              <w:bottom w:val="single" w:sz="4" w:space="0" w:color="auto"/>
            </w:tcBorders>
          </w:tcPr>
          <w:p w:rsidR="00D047D0" w:rsidRPr="00D047D0" w:rsidRDefault="00D047D0" w:rsidP="00D047D0"/>
        </w:tc>
        <w:tc>
          <w:tcPr>
            <w:tcW w:w="2825" w:type="dxa"/>
            <w:gridSpan w:val="2"/>
            <w:tcBorders>
              <w:bottom w:val="single" w:sz="4" w:space="0" w:color="auto"/>
            </w:tcBorders>
          </w:tcPr>
          <w:p w:rsidR="00D047D0" w:rsidRPr="00D047D0" w:rsidRDefault="00D047D0" w:rsidP="00D047D0">
            <w:r w:rsidRPr="00D047D0">
              <w:t>Werken volgens de Grootschalig Geneeskundige Bijstand (GGB, per 1 januari 2016)</w:t>
            </w:r>
          </w:p>
        </w:tc>
        <w:tc>
          <w:tcPr>
            <w:tcW w:w="5810" w:type="dxa"/>
            <w:tcBorders>
              <w:bottom w:val="single" w:sz="4" w:space="0" w:color="auto"/>
            </w:tcBorders>
          </w:tcPr>
          <w:p w:rsidR="00D047D0" w:rsidRPr="00D047D0" w:rsidRDefault="00D047D0" w:rsidP="00FB727F">
            <w:pPr>
              <w:numPr>
                <w:ilvl w:val="0"/>
                <w:numId w:val="46"/>
              </w:numPr>
              <w:ind w:left="327" w:hanging="283"/>
              <w:contextualSpacing/>
            </w:pPr>
            <w:r w:rsidRPr="00D047D0">
              <w:t>Opgeleid en geoefend personeel t.b.v. grootschalige incidenten (GGB)</w:t>
            </w:r>
          </w:p>
          <w:p w:rsidR="00D047D0" w:rsidRPr="00D047D0" w:rsidRDefault="00D047D0" w:rsidP="00FB727F">
            <w:pPr>
              <w:numPr>
                <w:ilvl w:val="0"/>
                <w:numId w:val="46"/>
              </w:numPr>
              <w:ind w:left="327" w:hanging="283"/>
              <w:contextualSpacing/>
            </w:pPr>
            <w:r w:rsidRPr="00D047D0">
              <w:t>Acute ketenoefening in 2017-2018</w:t>
            </w:r>
          </w:p>
          <w:p w:rsidR="00D047D0" w:rsidRPr="00D047D0" w:rsidRDefault="00D047D0" w:rsidP="00FB727F">
            <w:pPr>
              <w:numPr>
                <w:ilvl w:val="0"/>
                <w:numId w:val="46"/>
              </w:numPr>
              <w:ind w:left="327" w:hanging="283"/>
              <w:contextualSpacing/>
            </w:pPr>
            <w:r w:rsidRPr="00D047D0">
              <w:t>Stand-by staan bij branden, evenementen op verzoek van BRW en GHOR</w:t>
            </w:r>
          </w:p>
        </w:tc>
        <w:tc>
          <w:tcPr>
            <w:tcW w:w="3634" w:type="dxa"/>
            <w:vMerge/>
            <w:tcBorders>
              <w:bottom w:val="single" w:sz="4" w:space="0" w:color="auto"/>
            </w:tcBorders>
          </w:tcPr>
          <w:p w:rsidR="00D047D0" w:rsidRPr="00D047D0" w:rsidRDefault="00D047D0" w:rsidP="00D047D0"/>
        </w:tc>
      </w:tr>
    </w:tbl>
    <w:p w:rsidR="00995C80" w:rsidRDefault="00995C80" w:rsidP="002001D1">
      <w:pPr>
        <w:rPr>
          <w:b/>
        </w:rPr>
      </w:pPr>
    </w:p>
    <w:p w:rsidR="00D047D0" w:rsidRDefault="00D047D0" w:rsidP="002001D1">
      <w:pPr>
        <w:rPr>
          <w:b/>
        </w:rPr>
        <w:sectPr w:rsidR="00D047D0" w:rsidSect="0083605B">
          <w:footerReference w:type="default" r:id="rId20"/>
          <w:pgSz w:w="16838" w:h="11906" w:orient="landscape"/>
          <w:pgMar w:top="1417" w:right="1417" w:bottom="1417" w:left="1417" w:header="708" w:footer="708" w:gutter="0"/>
          <w:cols w:space="708"/>
          <w:docGrid w:linePitch="360"/>
        </w:sectPr>
      </w:pPr>
    </w:p>
    <w:p w:rsidR="005563DF" w:rsidRDefault="005563DF" w:rsidP="005563DF">
      <w:pPr>
        <w:rPr>
          <w:b/>
        </w:rPr>
      </w:pPr>
      <w:r w:rsidRPr="005563DF">
        <w:rPr>
          <w:b/>
        </w:rPr>
        <w:lastRenderedPageBreak/>
        <w:t>Wat mag het kosten?</w:t>
      </w:r>
    </w:p>
    <w:p w:rsidR="00AA1990" w:rsidRDefault="00691BED" w:rsidP="00AA1990">
      <w:pPr>
        <w:rPr>
          <w:noProof/>
          <w:lang w:eastAsia="nl-NL"/>
        </w:rPr>
      </w:pPr>
      <w:r w:rsidRPr="00691BED">
        <w:rPr>
          <w:noProof/>
          <w:lang w:eastAsia="nl-NL"/>
        </w:rPr>
        <w:drawing>
          <wp:inline distT="0" distB="0" distL="0" distR="0" wp14:anchorId="3814BCCA" wp14:editId="0E9B6B00">
            <wp:extent cx="5760720" cy="3783159"/>
            <wp:effectExtent l="0" t="0" r="0" b="8255"/>
            <wp:docPr id="79" name="Afbeelding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783159"/>
                    </a:xfrm>
                    <a:prstGeom prst="rect">
                      <a:avLst/>
                    </a:prstGeom>
                    <a:noFill/>
                    <a:ln>
                      <a:noFill/>
                    </a:ln>
                  </pic:spPr>
                </pic:pic>
              </a:graphicData>
            </a:graphic>
          </wp:inline>
        </w:drawing>
      </w:r>
    </w:p>
    <w:p w:rsidR="00D3377C" w:rsidRDefault="00691BED" w:rsidP="005563DF">
      <w:pPr>
        <w:rPr>
          <w:b/>
        </w:rPr>
      </w:pPr>
      <w:r w:rsidRPr="00691BED">
        <w:rPr>
          <w:noProof/>
          <w:lang w:eastAsia="nl-NL"/>
        </w:rPr>
        <w:drawing>
          <wp:inline distT="0" distB="0" distL="0" distR="0" wp14:anchorId="7B649BC3" wp14:editId="5DB893F4">
            <wp:extent cx="5448300" cy="2705100"/>
            <wp:effectExtent l="0" t="0" r="0" b="0"/>
            <wp:docPr id="80" name="Afbeelding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48300" cy="2705100"/>
                    </a:xfrm>
                    <a:prstGeom prst="rect">
                      <a:avLst/>
                    </a:prstGeom>
                    <a:noFill/>
                    <a:ln>
                      <a:noFill/>
                    </a:ln>
                  </pic:spPr>
                </pic:pic>
              </a:graphicData>
            </a:graphic>
          </wp:inline>
        </w:drawing>
      </w:r>
    </w:p>
    <w:p w:rsidR="005563DF" w:rsidRPr="005563DF" w:rsidRDefault="005563DF" w:rsidP="005563DF">
      <w:pPr>
        <w:rPr>
          <w:b/>
        </w:rPr>
      </w:pPr>
      <w:r w:rsidRPr="005563DF">
        <w:rPr>
          <w:b/>
        </w:rPr>
        <w:br w:type="page"/>
      </w:r>
    </w:p>
    <w:p w:rsidR="0083605B" w:rsidRPr="005563DF" w:rsidRDefault="0083605B" w:rsidP="002001D1">
      <w:pPr>
        <w:rPr>
          <w:b/>
        </w:rPr>
        <w:sectPr w:rsidR="0083605B" w:rsidRPr="005563DF" w:rsidSect="00995C80">
          <w:pgSz w:w="11906" w:h="16838"/>
          <w:pgMar w:top="1417" w:right="1417" w:bottom="1417" w:left="1417" w:header="708" w:footer="708" w:gutter="0"/>
          <w:cols w:space="708"/>
          <w:docGrid w:linePitch="360"/>
        </w:sectPr>
      </w:pPr>
    </w:p>
    <w:p w:rsidR="00AC16D7" w:rsidRDefault="00AC16D7" w:rsidP="0069463B">
      <w:pPr>
        <w:pStyle w:val="Kop2"/>
        <w:numPr>
          <w:ilvl w:val="1"/>
          <w:numId w:val="1"/>
        </w:numPr>
      </w:pPr>
      <w:bookmarkStart w:id="15" w:name="_Toc436144458"/>
      <w:bookmarkStart w:id="16" w:name="_Toc478655808"/>
      <w:r>
        <w:lastRenderedPageBreak/>
        <w:t xml:space="preserve">Programma </w:t>
      </w:r>
      <w:r w:rsidR="00282673">
        <w:t>GHOR</w:t>
      </w:r>
      <w:bookmarkEnd w:id="15"/>
      <w:bookmarkEnd w:id="16"/>
    </w:p>
    <w:p w:rsidR="003542F3" w:rsidRDefault="003542F3" w:rsidP="005277F3">
      <w:pPr>
        <w:pStyle w:val="Geenafstand"/>
      </w:pPr>
    </w:p>
    <w:p w:rsidR="00DD539A" w:rsidRDefault="00DD539A" w:rsidP="00DD539A">
      <w:pPr>
        <w:rPr>
          <w:b/>
        </w:rPr>
      </w:pPr>
      <w:r w:rsidRPr="003542F3">
        <w:rPr>
          <w:b/>
        </w:rPr>
        <w:t>Ambitie van het programma</w:t>
      </w:r>
    </w:p>
    <w:p w:rsidR="00CE5F05" w:rsidRPr="00CE5F05" w:rsidRDefault="00CE5F05" w:rsidP="00CE5F05">
      <w:r w:rsidRPr="00CE5F05">
        <w:t>De geneeskundige hulpverlening in Nederland is een omvangrijk en complex systeem van zelfstandige organisaties en partijen. In de dagelijkse praktijk werken zij continu en op verschillende manieren samen. Mochten</w:t>
      </w:r>
      <w:r w:rsidR="005615F6">
        <w:t xml:space="preserve"> </w:t>
      </w:r>
      <w:r w:rsidRPr="00CE5F05">
        <w:t xml:space="preserve">door een groot incident, ramp of crisis de dagelijkse capaciteit en de gang van zaken verstoord raken of dreigen te raken, dan zorgt GHOR Kennemerland voor de meest optimale samenwerking van alle onderdelen van de geneeskundige hulpverlening. De GHOR voorziet de organisaties van de juiste informatie en verzorgt de afstemming met andere hulpdiensten als Brandweer, Politie, gemeenten en vitale bedrijven zoals energie- en waterbedrijven, Luchthaven Schiphol, </w:t>
      </w:r>
      <w:proofErr w:type="spellStart"/>
      <w:r w:rsidRPr="00CE5F05">
        <w:t>TataSteel</w:t>
      </w:r>
      <w:proofErr w:type="spellEnd"/>
      <w:r w:rsidRPr="00CE5F05">
        <w:t xml:space="preserve"> en dergelijke. </w:t>
      </w:r>
    </w:p>
    <w:p w:rsidR="00CE5F05" w:rsidRPr="00CE5F05" w:rsidRDefault="00CE5F05" w:rsidP="00CE5F05">
      <w:r w:rsidRPr="00CE5F05">
        <w:t>Een zorginstelling kan zelf ook getroffen worden door een calamiteit, zoals uitval van stroom of wateroverlast. De GHOR helpt en adviseert deze instellingen om hierop voorbereid te zijn en te zorgen voor continuïteit van zorg. Onderdeel hiervan is samen opleiden, trainen en oefenen.</w:t>
      </w:r>
    </w:p>
    <w:p w:rsidR="00CE5F05" w:rsidRPr="00CE5F05" w:rsidRDefault="00CE5F05" w:rsidP="00CE5F05">
      <w:r w:rsidRPr="00CE5F05">
        <w:t>De GHOR is de spin in het web van de geneeskundige hulpverlening en</w:t>
      </w:r>
      <w:r w:rsidR="005615F6">
        <w:t xml:space="preserve"> </w:t>
      </w:r>
      <w:r w:rsidRPr="00CE5F05">
        <w:t xml:space="preserve">verbindt hulpverleners. In uitzonderlijke omstandigheden heeft de GHOR een professionele crisisorganisatie 24/7 beschikbaar, die in nauwe samenwerking met andere hulpverleners werkt. </w:t>
      </w:r>
    </w:p>
    <w:p w:rsidR="00CE5F05" w:rsidRPr="00CE5F05" w:rsidRDefault="00CE5F05" w:rsidP="00CE5F05">
      <w:r w:rsidRPr="00CE5F05">
        <w:t xml:space="preserve">Door deze regie-, coördinatie- en afstemmingsrol probeert de GHOR schade voor mens en milieu zoveel mogelijk te voorkomen of te beperken. </w:t>
      </w:r>
    </w:p>
    <w:p w:rsidR="00CE5F05" w:rsidRPr="00CE5F05" w:rsidRDefault="00CE5F05" w:rsidP="00CE5F05">
      <w:pPr>
        <w:rPr>
          <w:b/>
        </w:rPr>
      </w:pPr>
      <w:r w:rsidRPr="00CE5F05">
        <w:rPr>
          <w:b/>
        </w:rPr>
        <w:t xml:space="preserve">Uitgangspunten van beleid </w:t>
      </w:r>
    </w:p>
    <w:p w:rsidR="00CE5F05" w:rsidRPr="00CE5F05" w:rsidRDefault="00CE5F05" w:rsidP="00CE5F05">
      <w:r w:rsidRPr="00CE5F05">
        <w:t>De zorg in uitzonderlijke (opgeschaalde) situaties sluit zoveel mogelijk aan op de dagelijkse gang van zaken.</w:t>
      </w:r>
    </w:p>
    <w:p w:rsidR="00CE5F05" w:rsidRPr="00CE5F05" w:rsidRDefault="00CE5F05" w:rsidP="00CE5F05">
      <w:r w:rsidRPr="00CE5F05">
        <w:t>Organisaties in de geneeskundige hulpverlening zijn en blijven zelf verantwoordelijk voor het op verantwoorde wijze verlenen van zorg, ook in</w:t>
      </w:r>
      <w:r w:rsidR="005615F6">
        <w:t xml:space="preserve"> </w:t>
      </w:r>
      <w:r w:rsidRPr="00CE5F05">
        <w:t>uitzonderlijke omstandigheden.</w:t>
      </w:r>
    </w:p>
    <w:p w:rsidR="00CE5F05" w:rsidRPr="00CE5F05" w:rsidRDefault="00CE5F05" w:rsidP="00CE5F05">
      <w:pPr>
        <w:spacing w:after="0" w:line="240" w:lineRule="auto"/>
      </w:pPr>
      <w:r w:rsidRPr="00CE5F05">
        <w:t>De GHOR optimaliseert de aansluiting van de geneeskundige hulpverlening</w:t>
      </w:r>
      <w:r w:rsidR="005615F6">
        <w:t xml:space="preserve"> </w:t>
      </w:r>
      <w:r w:rsidRPr="00CE5F05">
        <w:t>tussen instellingen binnen de witte kolom en met alle overige hulpverleningsdiensten of partijen die van belang zijn voor deze hulpverlening.</w:t>
      </w:r>
    </w:p>
    <w:p w:rsidR="00CE5F05" w:rsidRPr="00CE5F05" w:rsidRDefault="00CE5F05" w:rsidP="00CE5F05">
      <w:pPr>
        <w:spacing w:after="0" w:line="240" w:lineRule="auto"/>
      </w:pPr>
    </w:p>
    <w:p w:rsidR="00CE5F05" w:rsidRPr="00CE5F05" w:rsidRDefault="00CE5F05" w:rsidP="00CE5F05">
      <w:pPr>
        <w:ind w:left="360"/>
      </w:pPr>
      <w:r w:rsidRPr="00CE5F05">
        <w:rPr>
          <w:b/>
        </w:rPr>
        <w:t>Relevante Beleidsnotities en wettelijk kader</w:t>
      </w:r>
    </w:p>
    <w:p w:rsidR="00CE5F05" w:rsidRPr="00CE5F05" w:rsidRDefault="00CE5F05" w:rsidP="00FB727F">
      <w:pPr>
        <w:numPr>
          <w:ilvl w:val="0"/>
          <w:numId w:val="24"/>
        </w:numPr>
        <w:contextualSpacing/>
      </w:pPr>
      <w:r w:rsidRPr="00CE5F05">
        <w:t xml:space="preserve">Wet Veiligheidsregio’s, </w:t>
      </w:r>
    </w:p>
    <w:p w:rsidR="00CE5F05" w:rsidRPr="00CE5F05" w:rsidRDefault="00CE5F05" w:rsidP="00FB727F">
      <w:pPr>
        <w:numPr>
          <w:ilvl w:val="0"/>
          <w:numId w:val="24"/>
        </w:numPr>
        <w:contextualSpacing/>
      </w:pPr>
      <w:r w:rsidRPr="00CE5F05">
        <w:t>Besluit Personeel Veiligheidsregio’s</w:t>
      </w:r>
      <w:r w:rsidRPr="00CE5F05">
        <w:rPr>
          <w:b/>
        </w:rPr>
        <w:t xml:space="preserve"> </w:t>
      </w:r>
    </w:p>
    <w:p w:rsidR="00CE5F05" w:rsidRPr="00CE5F05" w:rsidRDefault="00CE5F05" w:rsidP="00FB727F">
      <w:pPr>
        <w:numPr>
          <w:ilvl w:val="0"/>
          <w:numId w:val="24"/>
        </w:numPr>
        <w:contextualSpacing/>
      </w:pPr>
      <w:r w:rsidRPr="00CE5F05">
        <w:t xml:space="preserve">Wet Publieke gezondheidszorg, </w:t>
      </w:r>
    </w:p>
    <w:p w:rsidR="00CE5F05" w:rsidRPr="00CE5F05" w:rsidRDefault="00CE5F05" w:rsidP="00FB727F">
      <w:pPr>
        <w:numPr>
          <w:ilvl w:val="0"/>
          <w:numId w:val="24"/>
        </w:numPr>
        <w:contextualSpacing/>
      </w:pPr>
      <w:r w:rsidRPr="00CE5F05">
        <w:t xml:space="preserve">Missie, Visie, Strategie en Organisatiedoelstellingen GHOR Kennemerland 2015-2018 </w:t>
      </w:r>
    </w:p>
    <w:p w:rsidR="00CE5F05" w:rsidRPr="00CE5F05" w:rsidRDefault="00CE5F05" w:rsidP="00FB727F">
      <w:pPr>
        <w:numPr>
          <w:ilvl w:val="0"/>
          <w:numId w:val="24"/>
        </w:numPr>
        <w:contextualSpacing/>
        <w:rPr>
          <w:b/>
        </w:rPr>
      </w:pPr>
      <w:r w:rsidRPr="00CE5F05">
        <w:t>Crisismodel GHOR GGD Kennemerland (per 1-4-2015)</w:t>
      </w:r>
    </w:p>
    <w:p w:rsidR="00CE5F05" w:rsidRPr="00CE5F05" w:rsidRDefault="00CE5F05" w:rsidP="00FB727F">
      <w:pPr>
        <w:numPr>
          <w:ilvl w:val="0"/>
          <w:numId w:val="24"/>
        </w:numPr>
        <w:contextualSpacing/>
      </w:pPr>
      <w:r w:rsidRPr="00CE5F05">
        <w:t>Vakbekwaamheid</w:t>
      </w:r>
      <w:r w:rsidR="005615F6">
        <w:t xml:space="preserve"> </w:t>
      </w:r>
      <w:r w:rsidRPr="00CE5F05">
        <w:t>OTO Beleidsplan 2013-2018</w:t>
      </w:r>
    </w:p>
    <w:p w:rsidR="00CE5F05" w:rsidRPr="00CE5F05" w:rsidRDefault="00CE5F05" w:rsidP="00CE5F05">
      <w:pPr>
        <w:rPr>
          <w:b/>
        </w:rPr>
      </w:pPr>
    </w:p>
    <w:p w:rsidR="00CE5F05" w:rsidRPr="00CE5F05" w:rsidRDefault="00CE5F05" w:rsidP="00CE5F05">
      <w:pPr>
        <w:rPr>
          <w:b/>
        </w:rPr>
      </w:pPr>
    </w:p>
    <w:p w:rsidR="00CE5F05" w:rsidRPr="00CE5F05" w:rsidRDefault="00CE5F05" w:rsidP="00CE5F05">
      <w:pPr>
        <w:rPr>
          <w:b/>
        </w:rPr>
      </w:pPr>
    </w:p>
    <w:p w:rsidR="00CE5F05" w:rsidRPr="00CE5F05" w:rsidRDefault="00CE5F05" w:rsidP="00CE5F05">
      <w:pPr>
        <w:rPr>
          <w:b/>
        </w:rPr>
      </w:pPr>
      <w:r w:rsidRPr="00CE5F05">
        <w:rPr>
          <w:b/>
        </w:rPr>
        <w:lastRenderedPageBreak/>
        <w:t>Risico’s</w:t>
      </w:r>
    </w:p>
    <w:tbl>
      <w:tblPr>
        <w:tblStyle w:val="Tabelraster11"/>
        <w:tblW w:w="0" w:type="auto"/>
        <w:tblLook w:val="04A0" w:firstRow="1" w:lastRow="0" w:firstColumn="1" w:lastColumn="0" w:noHBand="0" w:noVBand="1"/>
      </w:tblPr>
      <w:tblGrid>
        <w:gridCol w:w="3070"/>
        <w:gridCol w:w="6110"/>
      </w:tblGrid>
      <w:tr w:rsidR="00CE5F05" w:rsidRPr="00CE5F05" w:rsidTr="001434D1">
        <w:tc>
          <w:tcPr>
            <w:tcW w:w="3070" w:type="dxa"/>
            <w:shd w:val="clear" w:color="auto" w:fill="C6D9F1" w:themeFill="text2" w:themeFillTint="33"/>
          </w:tcPr>
          <w:p w:rsidR="00CE5F05" w:rsidRPr="00CE5F05" w:rsidRDefault="00CE5F05" w:rsidP="00CE5F05">
            <w:r w:rsidRPr="00CE5F05">
              <w:t>Risico</w:t>
            </w:r>
          </w:p>
        </w:tc>
        <w:tc>
          <w:tcPr>
            <w:tcW w:w="6110" w:type="dxa"/>
            <w:shd w:val="clear" w:color="auto" w:fill="C6D9F1" w:themeFill="text2" w:themeFillTint="33"/>
          </w:tcPr>
          <w:p w:rsidR="00CE5F05" w:rsidRPr="00CE5F05" w:rsidRDefault="00CE5F05" w:rsidP="00CE5F05">
            <w:r w:rsidRPr="00CE5F05">
              <w:t>Beheersmaatregel</w:t>
            </w:r>
          </w:p>
        </w:tc>
      </w:tr>
      <w:tr w:rsidR="00CE5F05" w:rsidRPr="00CE5F05" w:rsidTr="001434D1">
        <w:tc>
          <w:tcPr>
            <w:tcW w:w="3070" w:type="dxa"/>
          </w:tcPr>
          <w:p w:rsidR="00CE5F05" w:rsidRPr="00CE5F05" w:rsidRDefault="00CE5F05" w:rsidP="00CE5F05">
            <w:r w:rsidRPr="00CE5F05">
              <w:t>suboptimale samenwerking met en/of tussen onze ketenpartners;</w:t>
            </w:r>
          </w:p>
          <w:p w:rsidR="00CE5F05" w:rsidRPr="00CE5F05" w:rsidRDefault="00CE5F05" w:rsidP="00CE5F05"/>
        </w:tc>
        <w:tc>
          <w:tcPr>
            <w:tcW w:w="6110" w:type="dxa"/>
          </w:tcPr>
          <w:p w:rsidR="00CE5F05" w:rsidRPr="00CE5F05" w:rsidRDefault="00CE5F05" w:rsidP="00CE5F05">
            <w:pPr>
              <w:numPr>
                <w:ilvl w:val="0"/>
                <w:numId w:val="6"/>
              </w:numPr>
            </w:pPr>
            <w:r w:rsidRPr="00CE5F05">
              <w:t>afstemmen dienstverlening met ketenpartners, zowel structureel als incidenteel</w:t>
            </w:r>
          </w:p>
          <w:p w:rsidR="00CE5F05" w:rsidRPr="00CE5F05" w:rsidRDefault="00CE5F05" w:rsidP="00CE5F05">
            <w:pPr>
              <w:numPr>
                <w:ilvl w:val="0"/>
                <w:numId w:val="6"/>
              </w:numPr>
            </w:pPr>
            <w:r w:rsidRPr="00CE5F05">
              <w:t>gezamenlijke inspanningen evalueren, en leer- en verbeterpunten in de betreffende samenwerking en/of werkprocessen doorvoeren</w:t>
            </w:r>
          </w:p>
        </w:tc>
      </w:tr>
      <w:tr w:rsidR="00CE5F05" w:rsidRPr="00CE5F05" w:rsidTr="001434D1">
        <w:tc>
          <w:tcPr>
            <w:tcW w:w="3070" w:type="dxa"/>
          </w:tcPr>
          <w:p w:rsidR="00CE5F05" w:rsidRPr="00CE5F05" w:rsidRDefault="00CE5F05" w:rsidP="00CE5F05">
            <w:r w:rsidRPr="00CE5F05">
              <w:t>Adviezen worden niet opgevolgd</w:t>
            </w:r>
          </w:p>
        </w:tc>
        <w:tc>
          <w:tcPr>
            <w:tcW w:w="6110" w:type="dxa"/>
          </w:tcPr>
          <w:p w:rsidR="00CE5F05" w:rsidRPr="00CE5F05" w:rsidRDefault="00CE5F05" w:rsidP="00CE5F05">
            <w:pPr>
              <w:numPr>
                <w:ilvl w:val="0"/>
                <w:numId w:val="7"/>
              </w:numPr>
            </w:pPr>
            <w:r w:rsidRPr="00CE5F05">
              <w:t>aansluiten bij de behoefte van de klant (gemeenten, ketenpartners, burgers)</w:t>
            </w:r>
          </w:p>
          <w:p w:rsidR="00CE5F05" w:rsidRPr="00CE5F05" w:rsidRDefault="00CE5F05" w:rsidP="00CE5F05">
            <w:pPr>
              <w:numPr>
                <w:ilvl w:val="0"/>
                <w:numId w:val="7"/>
              </w:numPr>
            </w:pPr>
            <w:r w:rsidRPr="00CE5F05">
              <w:t>geven van professionele, onderbouwde adviezen</w:t>
            </w:r>
          </w:p>
        </w:tc>
      </w:tr>
    </w:tbl>
    <w:p w:rsidR="00CE5F05" w:rsidRPr="00CE5F05" w:rsidRDefault="00CE5F05" w:rsidP="00CE5F05">
      <w:pPr>
        <w:rPr>
          <w:b/>
        </w:rPr>
      </w:pPr>
    </w:p>
    <w:p w:rsidR="00DD539A" w:rsidRPr="003542F3" w:rsidRDefault="00DD539A" w:rsidP="00DD539A">
      <w:pPr>
        <w:rPr>
          <w:b/>
        </w:rPr>
      </w:pPr>
    </w:p>
    <w:p w:rsidR="00DD539A" w:rsidRPr="003542F3" w:rsidRDefault="00DD539A" w:rsidP="00DD539A">
      <w:pPr>
        <w:rPr>
          <w:b/>
        </w:rPr>
        <w:sectPr w:rsidR="00DD539A" w:rsidRPr="003542F3" w:rsidSect="0083605B">
          <w:footerReference w:type="default" r:id="rId23"/>
          <w:pgSz w:w="11906" w:h="16838"/>
          <w:pgMar w:top="1417" w:right="1417" w:bottom="1417" w:left="1417" w:header="708" w:footer="708" w:gutter="0"/>
          <w:cols w:space="708"/>
          <w:docGrid w:linePitch="360"/>
        </w:sectPr>
      </w:pPr>
    </w:p>
    <w:p w:rsidR="00DD539A" w:rsidRPr="003542F3" w:rsidRDefault="00DD539A" w:rsidP="00DD539A">
      <w:pPr>
        <w:rPr>
          <w:b/>
        </w:rPr>
      </w:pPr>
      <w:r w:rsidRPr="003542F3">
        <w:rPr>
          <w:b/>
        </w:rPr>
        <w:lastRenderedPageBreak/>
        <w:t>Doelenboom</w:t>
      </w:r>
    </w:p>
    <w:tbl>
      <w:tblPr>
        <w:tblStyle w:val="Tabelraster4"/>
        <w:tblW w:w="0" w:type="auto"/>
        <w:tblLook w:val="04A0" w:firstRow="1" w:lastRow="0" w:firstColumn="1" w:lastColumn="0" w:noHBand="0" w:noVBand="1"/>
      </w:tblPr>
      <w:tblGrid>
        <w:gridCol w:w="2005"/>
        <w:gridCol w:w="2808"/>
        <w:gridCol w:w="5759"/>
        <w:gridCol w:w="3648"/>
      </w:tblGrid>
      <w:tr w:rsidR="00836289" w:rsidRPr="004864BD" w:rsidTr="001434D1">
        <w:tc>
          <w:tcPr>
            <w:tcW w:w="5070" w:type="dxa"/>
            <w:gridSpan w:val="2"/>
          </w:tcPr>
          <w:p w:rsidR="00836289" w:rsidRPr="004864BD" w:rsidRDefault="00836289" w:rsidP="001434D1">
            <w:pPr>
              <w:rPr>
                <w:i/>
              </w:rPr>
            </w:pPr>
            <w:r w:rsidRPr="004864BD">
              <w:rPr>
                <w:i/>
              </w:rPr>
              <w:t>Wat willen we bereiken</w:t>
            </w:r>
          </w:p>
        </w:tc>
        <w:tc>
          <w:tcPr>
            <w:tcW w:w="6520" w:type="dxa"/>
          </w:tcPr>
          <w:p w:rsidR="00836289" w:rsidRPr="004864BD" w:rsidRDefault="00836289" w:rsidP="001434D1">
            <w:pPr>
              <w:rPr>
                <w:i/>
              </w:rPr>
            </w:pPr>
            <w:r w:rsidRPr="004864BD">
              <w:rPr>
                <w:i/>
              </w:rPr>
              <w:t>Wat gaan we er voor doen</w:t>
            </w:r>
          </w:p>
        </w:tc>
        <w:tc>
          <w:tcPr>
            <w:tcW w:w="3969" w:type="dxa"/>
            <w:vMerge w:val="restart"/>
          </w:tcPr>
          <w:p w:rsidR="00836289" w:rsidRPr="004864BD" w:rsidRDefault="00836289" w:rsidP="001434D1">
            <w:pPr>
              <w:rPr>
                <w:i/>
              </w:rPr>
            </w:pPr>
            <w:r w:rsidRPr="004864BD">
              <w:rPr>
                <w:i/>
              </w:rPr>
              <w:t>Wat is het beoogd maatschappelijk effect</w:t>
            </w:r>
          </w:p>
        </w:tc>
      </w:tr>
      <w:tr w:rsidR="00836289" w:rsidRPr="004864BD" w:rsidTr="001434D1">
        <w:tc>
          <w:tcPr>
            <w:tcW w:w="2093" w:type="dxa"/>
          </w:tcPr>
          <w:p w:rsidR="00836289" w:rsidRPr="004864BD" w:rsidRDefault="00836289" w:rsidP="001434D1">
            <w:r w:rsidRPr="004864BD">
              <w:t>Strategisch doel</w:t>
            </w:r>
          </w:p>
        </w:tc>
        <w:tc>
          <w:tcPr>
            <w:tcW w:w="2977" w:type="dxa"/>
          </w:tcPr>
          <w:p w:rsidR="00836289" w:rsidRPr="004864BD" w:rsidRDefault="00836289" w:rsidP="001434D1">
            <w:r w:rsidRPr="004864BD">
              <w:t>Operationeel doel</w:t>
            </w:r>
          </w:p>
        </w:tc>
        <w:tc>
          <w:tcPr>
            <w:tcW w:w="6520" w:type="dxa"/>
          </w:tcPr>
          <w:p w:rsidR="00836289" w:rsidRPr="004864BD" w:rsidRDefault="00836289" w:rsidP="001434D1">
            <w:r w:rsidRPr="004864BD">
              <w:t>Prestatie 2018-2021</w:t>
            </w:r>
          </w:p>
        </w:tc>
        <w:tc>
          <w:tcPr>
            <w:tcW w:w="3969" w:type="dxa"/>
            <w:vMerge/>
          </w:tcPr>
          <w:p w:rsidR="00836289" w:rsidRPr="004864BD" w:rsidRDefault="00836289" w:rsidP="001434D1"/>
        </w:tc>
      </w:tr>
      <w:tr w:rsidR="00836289" w:rsidRPr="004864BD" w:rsidTr="001434D1">
        <w:tc>
          <w:tcPr>
            <w:tcW w:w="15559" w:type="dxa"/>
            <w:gridSpan w:val="4"/>
            <w:shd w:val="clear" w:color="auto" w:fill="C6D9F1" w:themeFill="text2" w:themeFillTint="33"/>
          </w:tcPr>
          <w:p w:rsidR="00836289" w:rsidRPr="004864BD" w:rsidRDefault="00836289" w:rsidP="001434D1"/>
        </w:tc>
      </w:tr>
      <w:tr w:rsidR="00836289" w:rsidRPr="004864BD" w:rsidTr="001434D1">
        <w:tc>
          <w:tcPr>
            <w:tcW w:w="2093" w:type="dxa"/>
            <w:vMerge w:val="restart"/>
          </w:tcPr>
          <w:p w:rsidR="00836289" w:rsidRPr="004864BD" w:rsidRDefault="00836289" w:rsidP="001434D1">
            <w:r w:rsidRPr="004864BD">
              <w:t>De crisisorganisatie staat 24x7 paraat voor de geneeskundige hulpverlening bij rampen en crises</w:t>
            </w:r>
          </w:p>
        </w:tc>
        <w:tc>
          <w:tcPr>
            <w:tcW w:w="2977" w:type="dxa"/>
          </w:tcPr>
          <w:p w:rsidR="00836289" w:rsidRPr="004864BD" w:rsidRDefault="00836289" w:rsidP="001434D1">
            <w:r w:rsidRPr="004864BD">
              <w:t>Crisisorganisatie conform landelijke en regionale regelgeving</w:t>
            </w:r>
          </w:p>
        </w:tc>
        <w:tc>
          <w:tcPr>
            <w:tcW w:w="6520" w:type="dxa"/>
          </w:tcPr>
          <w:p w:rsidR="00836289" w:rsidRPr="004864BD" w:rsidRDefault="00836289" w:rsidP="00FB727F">
            <w:pPr>
              <w:numPr>
                <w:ilvl w:val="0"/>
                <w:numId w:val="51"/>
              </w:numPr>
            </w:pPr>
            <w:r w:rsidRPr="004864BD">
              <w:t>procedures crisisorganisatie op orde brengen c.q. houden</w:t>
            </w:r>
          </w:p>
          <w:p w:rsidR="00836289" w:rsidRPr="004864BD" w:rsidRDefault="00836289" w:rsidP="00FB727F">
            <w:pPr>
              <w:numPr>
                <w:ilvl w:val="0"/>
                <w:numId w:val="51"/>
              </w:numPr>
            </w:pPr>
            <w:r w:rsidRPr="004864BD">
              <w:t>opstellen en actualiseren van (deel) procesplannen en handboeken voor crisisfunctionarissen</w:t>
            </w:r>
          </w:p>
        </w:tc>
        <w:tc>
          <w:tcPr>
            <w:tcW w:w="3969" w:type="dxa"/>
            <w:vMerge w:val="restart"/>
          </w:tcPr>
          <w:p w:rsidR="00836289" w:rsidRPr="004864BD" w:rsidRDefault="00836289" w:rsidP="001434D1">
            <w:r w:rsidRPr="004864BD">
              <w:t>Doelmatig en doeltreffend optreden van de crisesorganisatie tijdens rampen en crises</w:t>
            </w:r>
          </w:p>
        </w:tc>
      </w:tr>
      <w:tr w:rsidR="00836289" w:rsidRPr="004864BD" w:rsidTr="001434D1">
        <w:tc>
          <w:tcPr>
            <w:tcW w:w="2093" w:type="dxa"/>
            <w:vMerge/>
          </w:tcPr>
          <w:p w:rsidR="00836289" w:rsidRPr="004864BD" w:rsidRDefault="00836289" w:rsidP="001434D1"/>
        </w:tc>
        <w:tc>
          <w:tcPr>
            <w:tcW w:w="2977" w:type="dxa"/>
          </w:tcPr>
          <w:p w:rsidR="00836289" w:rsidRPr="004864BD" w:rsidRDefault="00836289" w:rsidP="001434D1">
            <w:r w:rsidRPr="004864BD">
              <w:t>Voldoende, gekwalificeerde crisisfunctionarissen</w:t>
            </w:r>
          </w:p>
        </w:tc>
        <w:tc>
          <w:tcPr>
            <w:tcW w:w="6520" w:type="dxa"/>
          </w:tcPr>
          <w:p w:rsidR="00836289" w:rsidRPr="004864BD" w:rsidRDefault="00836289" w:rsidP="00FB727F">
            <w:pPr>
              <w:numPr>
                <w:ilvl w:val="0"/>
                <w:numId w:val="51"/>
              </w:numPr>
            </w:pPr>
            <w:r w:rsidRPr="004864BD">
              <w:t xml:space="preserve">uitvoeren </w:t>
            </w:r>
            <w:r w:rsidRPr="00691CB3">
              <w:t>OTO Beleidsplan 2013-2018</w:t>
            </w:r>
          </w:p>
          <w:p w:rsidR="00836289" w:rsidRPr="004864BD" w:rsidRDefault="00836289" w:rsidP="00FB727F">
            <w:pPr>
              <w:numPr>
                <w:ilvl w:val="0"/>
                <w:numId w:val="51"/>
              </w:numPr>
            </w:pPr>
            <w:r w:rsidRPr="004864BD">
              <w:t xml:space="preserve">organiseren van </w:t>
            </w:r>
            <w:proofErr w:type="spellStart"/>
            <w:r w:rsidRPr="004864BD">
              <w:t>multi</w:t>
            </w:r>
            <w:proofErr w:type="spellEnd"/>
            <w:r w:rsidRPr="004864BD">
              <w:t>- en mono activiteiten en -oefeningen voor crisisfunctionarissen</w:t>
            </w:r>
          </w:p>
          <w:p w:rsidR="00836289" w:rsidRPr="004864BD" w:rsidRDefault="00836289" w:rsidP="00FB727F">
            <w:pPr>
              <w:numPr>
                <w:ilvl w:val="0"/>
                <w:numId w:val="51"/>
              </w:numPr>
            </w:pPr>
            <w:r w:rsidRPr="004864BD">
              <w:t>afsluiten van convenanten met ketenpartners</w:t>
            </w:r>
          </w:p>
        </w:tc>
        <w:tc>
          <w:tcPr>
            <w:tcW w:w="3969" w:type="dxa"/>
            <w:vMerge/>
          </w:tcPr>
          <w:p w:rsidR="00836289" w:rsidRPr="004864BD" w:rsidRDefault="00836289" w:rsidP="001434D1"/>
        </w:tc>
      </w:tr>
      <w:tr w:rsidR="00836289" w:rsidRPr="004864BD" w:rsidTr="001434D1">
        <w:tc>
          <w:tcPr>
            <w:tcW w:w="2093" w:type="dxa"/>
            <w:vMerge/>
            <w:tcBorders>
              <w:bottom w:val="single" w:sz="4" w:space="0" w:color="auto"/>
            </w:tcBorders>
          </w:tcPr>
          <w:p w:rsidR="00836289" w:rsidRPr="004864BD" w:rsidRDefault="00836289" w:rsidP="001434D1"/>
        </w:tc>
        <w:tc>
          <w:tcPr>
            <w:tcW w:w="2977" w:type="dxa"/>
            <w:tcBorders>
              <w:bottom w:val="single" w:sz="4" w:space="0" w:color="auto"/>
            </w:tcBorders>
          </w:tcPr>
          <w:p w:rsidR="00836289" w:rsidRPr="004864BD" w:rsidRDefault="00836289" w:rsidP="001434D1">
            <w:r w:rsidRPr="004864BD">
              <w:t>Materialen en uitrusting permanent op orde</w:t>
            </w:r>
          </w:p>
        </w:tc>
        <w:tc>
          <w:tcPr>
            <w:tcW w:w="6520" w:type="dxa"/>
            <w:tcBorders>
              <w:bottom w:val="single" w:sz="4" w:space="0" w:color="auto"/>
            </w:tcBorders>
          </w:tcPr>
          <w:p w:rsidR="00836289" w:rsidRPr="004864BD" w:rsidRDefault="00836289" w:rsidP="00FB727F">
            <w:pPr>
              <w:numPr>
                <w:ilvl w:val="0"/>
                <w:numId w:val="51"/>
              </w:numPr>
            </w:pPr>
            <w:r w:rsidRPr="004864BD">
              <w:t>uitvoeren materieelbeheersplan</w:t>
            </w:r>
          </w:p>
          <w:p w:rsidR="00836289" w:rsidRPr="004864BD" w:rsidRDefault="00836289" w:rsidP="00FB727F">
            <w:pPr>
              <w:numPr>
                <w:ilvl w:val="0"/>
                <w:numId w:val="51"/>
              </w:numPr>
            </w:pPr>
            <w:r w:rsidRPr="00691CB3">
              <w:t xml:space="preserve">volgens meerjarig investeringsplan vervangen </w:t>
            </w:r>
            <w:r>
              <w:t xml:space="preserve">materialen en </w:t>
            </w:r>
            <w:r w:rsidRPr="00691CB3">
              <w:t>piketvoertuigen</w:t>
            </w:r>
          </w:p>
        </w:tc>
        <w:tc>
          <w:tcPr>
            <w:tcW w:w="3969" w:type="dxa"/>
            <w:vMerge/>
            <w:tcBorders>
              <w:bottom w:val="single" w:sz="4" w:space="0" w:color="auto"/>
            </w:tcBorders>
          </w:tcPr>
          <w:p w:rsidR="00836289" w:rsidRPr="004864BD" w:rsidRDefault="00836289" w:rsidP="001434D1"/>
        </w:tc>
      </w:tr>
      <w:tr w:rsidR="00836289" w:rsidRPr="004864BD" w:rsidTr="001434D1">
        <w:tc>
          <w:tcPr>
            <w:tcW w:w="2093" w:type="dxa"/>
            <w:tcBorders>
              <w:bottom w:val="single" w:sz="4" w:space="0" w:color="auto"/>
            </w:tcBorders>
            <w:shd w:val="clear" w:color="auto" w:fill="C6D9F1" w:themeFill="text2" w:themeFillTint="33"/>
          </w:tcPr>
          <w:p w:rsidR="00836289" w:rsidRPr="004864BD" w:rsidRDefault="00836289" w:rsidP="001434D1"/>
        </w:tc>
        <w:tc>
          <w:tcPr>
            <w:tcW w:w="2977" w:type="dxa"/>
            <w:tcBorders>
              <w:bottom w:val="single" w:sz="4" w:space="0" w:color="auto"/>
            </w:tcBorders>
            <w:shd w:val="clear" w:color="auto" w:fill="C6D9F1" w:themeFill="text2" w:themeFillTint="33"/>
          </w:tcPr>
          <w:p w:rsidR="00836289" w:rsidRPr="004864BD" w:rsidRDefault="00836289" w:rsidP="001434D1"/>
        </w:tc>
        <w:tc>
          <w:tcPr>
            <w:tcW w:w="6520" w:type="dxa"/>
            <w:tcBorders>
              <w:bottom w:val="single" w:sz="4" w:space="0" w:color="auto"/>
            </w:tcBorders>
            <w:shd w:val="clear" w:color="auto" w:fill="C6D9F1" w:themeFill="text2" w:themeFillTint="33"/>
          </w:tcPr>
          <w:p w:rsidR="00836289" w:rsidRPr="004864BD" w:rsidRDefault="00836289" w:rsidP="001434D1">
            <w:pPr>
              <w:ind w:left="360"/>
              <w:contextualSpacing/>
            </w:pPr>
          </w:p>
        </w:tc>
        <w:tc>
          <w:tcPr>
            <w:tcW w:w="3969" w:type="dxa"/>
            <w:tcBorders>
              <w:bottom w:val="single" w:sz="4" w:space="0" w:color="auto"/>
            </w:tcBorders>
            <w:shd w:val="clear" w:color="auto" w:fill="C6D9F1" w:themeFill="text2" w:themeFillTint="33"/>
          </w:tcPr>
          <w:p w:rsidR="00836289" w:rsidRPr="004864BD" w:rsidRDefault="00836289" w:rsidP="001434D1"/>
        </w:tc>
      </w:tr>
      <w:tr w:rsidR="00836289" w:rsidRPr="004864BD" w:rsidTr="001434D1">
        <w:tc>
          <w:tcPr>
            <w:tcW w:w="2093" w:type="dxa"/>
          </w:tcPr>
          <w:p w:rsidR="00836289" w:rsidRPr="004864BD" w:rsidRDefault="00836289" w:rsidP="001434D1">
            <w:r w:rsidRPr="004864BD">
              <w:t>Regie op</w:t>
            </w:r>
            <w:r w:rsidR="005615F6">
              <w:t xml:space="preserve"> </w:t>
            </w:r>
            <w:r w:rsidRPr="004864BD">
              <w:t>voorbereiding op de geneeskundige hulpverlening bij rampen en crises</w:t>
            </w:r>
          </w:p>
        </w:tc>
        <w:tc>
          <w:tcPr>
            <w:tcW w:w="2977" w:type="dxa"/>
            <w:tcBorders>
              <w:bottom w:val="single" w:sz="4" w:space="0" w:color="auto"/>
            </w:tcBorders>
          </w:tcPr>
          <w:p w:rsidR="00836289" w:rsidRPr="004864BD" w:rsidRDefault="00836289" w:rsidP="001434D1">
            <w:r w:rsidRPr="004864BD">
              <w:t>Zorginstellingen zijn zich bewust van hun rol en eigen verantwoordelijkheid binnen de zorgketen</w:t>
            </w:r>
          </w:p>
        </w:tc>
        <w:tc>
          <w:tcPr>
            <w:tcW w:w="6520" w:type="dxa"/>
            <w:tcBorders>
              <w:bottom w:val="single" w:sz="4" w:space="0" w:color="auto"/>
            </w:tcBorders>
          </w:tcPr>
          <w:p w:rsidR="00836289" w:rsidRPr="004864BD" w:rsidRDefault="00836289" w:rsidP="00FB727F">
            <w:pPr>
              <w:numPr>
                <w:ilvl w:val="0"/>
                <w:numId w:val="51"/>
              </w:numPr>
            </w:pPr>
            <w:r w:rsidRPr="004864BD">
              <w:t xml:space="preserve">op basis van het regionaal </w:t>
            </w:r>
            <w:r w:rsidR="003C4AB3">
              <w:t>risico</w:t>
            </w:r>
            <w:r w:rsidRPr="004864BD">
              <w:t xml:space="preserve">profiel de zorgketen voorbereiden op hun rol in de geneeskundige hulpverlening in uitzonderlijke omstandigheden </w:t>
            </w:r>
          </w:p>
          <w:p w:rsidR="00836289" w:rsidRPr="004864BD" w:rsidRDefault="00836289" w:rsidP="00FB727F">
            <w:pPr>
              <w:numPr>
                <w:ilvl w:val="0"/>
                <w:numId w:val="51"/>
              </w:numPr>
            </w:pPr>
            <w:r w:rsidRPr="004864BD">
              <w:t>adviseren en bieden van ondersteuning aan partners in de zorgketen om hun zorg continuïteit ook in uitzonderlijke omstandigheden te kunnen garanderen</w:t>
            </w:r>
          </w:p>
        </w:tc>
        <w:tc>
          <w:tcPr>
            <w:tcW w:w="3969" w:type="dxa"/>
            <w:tcBorders>
              <w:bottom w:val="single" w:sz="4" w:space="0" w:color="auto"/>
            </w:tcBorders>
          </w:tcPr>
          <w:p w:rsidR="00836289" w:rsidRPr="004864BD" w:rsidRDefault="00836289" w:rsidP="001434D1">
            <w:r w:rsidRPr="004864BD">
              <w:t>Zorginstellingen zijn voorbereid op geneeskundige hulpverlening ook in geval van rampen en crises</w:t>
            </w:r>
          </w:p>
        </w:tc>
      </w:tr>
      <w:tr w:rsidR="00836289" w:rsidRPr="004864BD" w:rsidTr="001434D1">
        <w:tc>
          <w:tcPr>
            <w:tcW w:w="15559" w:type="dxa"/>
            <w:gridSpan w:val="4"/>
            <w:shd w:val="clear" w:color="auto" w:fill="C6D9F1" w:themeFill="text2" w:themeFillTint="33"/>
          </w:tcPr>
          <w:p w:rsidR="00836289" w:rsidRPr="004864BD" w:rsidRDefault="00836289" w:rsidP="001434D1">
            <w:pPr>
              <w:ind w:left="360"/>
              <w:contextualSpacing/>
            </w:pPr>
          </w:p>
        </w:tc>
      </w:tr>
      <w:tr w:rsidR="00836289" w:rsidRPr="004864BD" w:rsidTr="001434D1">
        <w:tc>
          <w:tcPr>
            <w:tcW w:w="2093" w:type="dxa"/>
            <w:vMerge w:val="restart"/>
          </w:tcPr>
          <w:p w:rsidR="00836289" w:rsidRPr="004864BD" w:rsidRDefault="00836289" w:rsidP="001434D1">
            <w:r w:rsidRPr="004864BD">
              <w:t>Coördinatie en aansturing van de geneeskundige hulpverlening tijdens rampen en crises</w:t>
            </w:r>
          </w:p>
        </w:tc>
        <w:tc>
          <w:tcPr>
            <w:tcW w:w="2977" w:type="dxa"/>
          </w:tcPr>
          <w:p w:rsidR="00836289" w:rsidRPr="004864BD" w:rsidRDefault="00836289" w:rsidP="001434D1">
            <w:r w:rsidRPr="004864BD">
              <w:t>24x7 paraatheid van kwalitatief hoogstaande crisisorganisatie</w:t>
            </w:r>
          </w:p>
        </w:tc>
        <w:tc>
          <w:tcPr>
            <w:tcW w:w="6520" w:type="dxa"/>
          </w:tcPr>
          <w:p w:rsidR="00836289" w:rsidRPr="004864BD" w:rsidRDefault="00836289" w:rsidP="00FB727F">
            <w:pPr>
              <w:numPr>
                <w:ilvl w:val="0"/>
                <w:numId w:val="51"/>
              </w:numPr>
            </w:pPr>
            <w:r w:rsidRPr="004864BD">
              <w:t xml:space="preserve">beschikbaar </w:t>
            </w:r>
            <w:r>
              <w:t xml:space="preserve">hebben </w:t>
            </w:r>
            <w:r w:rsidRPr="004864BD">
              <w:t>van gekwalificeerde crisisfunctionarissen</w:t>
            </w:r>
          </w:p>
          <w:p w:rsidR="00836289" w:rsidRPr="004864BD" w:rsidRDefault="00836289" w:rsidP="00FB727F">
            <w:pPr>
              <w:numPr>
                <w:ilvl w:val="0"/>
                <w:numId w:val="51"/>
              </w:numPr>
            </w:pPr>
            <w:r w:rsidRPr="004864BD">
              <w:t xml:space="preserve">beschikbaar </w:t>
            </w:r>
            <w:r>
              <w:t xml:space="preserve">hebben </w:t>
            </w:r>
            <w:r w:rsidRPr="004864BD">
              <w:t>van benodigd materieel (vervoer, communicatiemiddelen en kleding) ten behoeve van crisisfunctionarissen</w:t>
            </w:r>
          </w:p>
        </w:tc>
        <w:tc>
          <w:tcPr>
            <w:tcW w:w="3969" w:type="dxa"/>
            <w:vMerge w:val="restart"/>
          </w:tcPr>
          <w:p w:rsidR="00836289" w:rsidRPr="004864BD" w:rsidRDefault="00836289" w:rsidP="001434D1">
            <w:r w:rsidRPr="004864BD">
              <w:t>Adequate geneeskundige hulpverlening bij rampen en crises i.s.m. overige hulpverleningsdiensten.</w:t>
            </w:r>
          </w:p>
        </w:tc>
      </w:tr>
      <w:tr w:rsidR="00836289" w:rsidRPr="004864BD" w:rsidTr="001434D1">
        <w:tc>
          <w:tcPr>
            <w:tcW w:w="2093" w:type="dxa"/>
            <w:vMerge/>
          </w:tcPr>
          <w:p w:rsidR="00836289" w:rsidRPr="004864BD" w:rsidRDefault="00836289" w:rsidP="001434D1"/>
        </w:tc>
        <w:tc>
          <w:tcPr>
            <w:tcW w:w="2977" w:type="dxa"/>
          </w:tcPr>
          <w:p w:rsidR="00836289" w:rsidRPr="004864BD" w:rsidRDefault="00836289" w:rsidP="001434D1">
            <w:r w:rsidRPr="004864BD">
              <w:t xml:space="preserve">Verbinden van de geneeskundige hulpverlening met openbare orde en veiligheid tijdens </w:t>
            </w:r>
            <w:r w:rsidRPr="004864BD">
              <w:lastRenderedPageBreak/>
              <w:t>crises of rampen.</w:t>
            </w:r>
          </w:p>
        </w:tc>
        <w:tc>
          <w:tcPr>
            <w:tcW w:w="6520" w:type="dxa"/>
          </w:tcPr>
          <w:p w:rsidR="00836289" w:rsidRPr="004864BD" w:rsidRDefault="00836289" w:rsidP="00FB727F">
            <w:pPr>
              <w:numPr>
                <w:ilvl w:val="0"/>
                <w:numId w:val="51"/>
              </w:numPr>
            </w:pPr>
            <w:r w:rsidRPr="004864BD">
              <w:lastRenderedPageBreak/>
              <w:t>24x7 beschikbaar hebben van het actiecentrum GHOR</w:t>
            </w:r>
          </w:p>
          <w:p w:rsidR="00836289" w:rsidRPr="004864BD" w:rsidRDefault="00836289" w:rsidP="00FB727F">
            <w:pPr>
              <w:numPr>
                <w:ilvl w:val="0"/>
                <w:numId w:val="51"/>
              </w:numPr>
            </w:pPr>
            <w:r w:rsidRPr="004864BD">
              <w:t>informatiemanagement t.b.v. instellingen (m.b.v. GHOR 4all</w:t>
            </w:r>
            <w:r>
              <w:t xml:space="preserve"> en LCMS</w:t>
            </w:r>
            <w:r w:rsidRPr="004864BD">
              <w:t>)</w:t>
            </w:r>
          </w:p>
          <w:p w:rsidR="00836289" w:rsidRPr="004864BD" w:rsidRDefault="00836289" w:rsidP="00FB727F">
            <w:pPr>
              <w:numPr>
                <w:ilvl w:val="0"/>
                <w:numId w:val="51"/>
              </w:numPr>
            </w:pPr>
            <w:r w:rsidRPr="004864BD">
              <w:t xml:space="preserve">implementeren </w:t>
            </w:r>
            <w:proofErr w:type="spellStart"/>
            <w:r w:rsidRPr="004864BD">
              <w:t>netcentrisch</w:t>
            </w:r>
            <w:proofErr w:type="spellEnd"/>
            <w:r w:rsidRPr="004864BD">
              <w:t xml:space="preserve"> werken in witte kolom</w:t>
            </w:r>
          </w:p>
        </w:tc>
        <w:tc>
          <w:tcPr>
            <w:tcW w:w="3969" w:type="dxa"/>
            <w:vMerge/>
          </w:tcPr>
          <w:p w:rsidR="00836289" w:rsidRPr="004864BD" w:rsidRDefault="00836289" w:rsidP="001434D1"/>
        </w:tc>
      </w:tr>
      <w:tr w:rsidR="00836289" w:rsidRPr="004864BD" w:rsidTr="001434D1">
        <w:tc>
          <w:tcPr>
            <w:tcW w:w="15559" w:type="dxa"/>
            <w:gridSpan w:val="4"/>
            <w:shd w:val="clear" w:color="auto" w:fill="C6D9F1" w:themeFill="text2" w:themeFillTint="33"/>
          </w:tcPr>
          <w:p w:rsidR="00836289" w:rsidRPr="004864BD" w:rsidRDefault="00836289" w:rsidP="001434D1"/>
        </w:tc>
      </w:tr>
      <w:tr w:rsidR="00836289" w:rsidRPr="004864BD" w:rsidTr="001434D1">
        <w:tc>
          <w:tcPr>
            <w:tcW w:w="2093" w:type="dxa"/>
            <w:vMerge w:val="restart"/>
          </w:tcPr>
          <w:p w:rsidR="00836289" w:rsidRPr="004864BD" w:rsidRDefault="00836289" w:rsidP="001434D1">
            <w:r w:rsidRPr="004864BD">
              <w:t>GHOR is kenniscentrum op gebied van grootschalige geneeskundige hulpverlening</w:t>
            </w:r>
          </w:p>
        </w:tc>
        <w:tc>
          <w:tcPr>
            <w:tcW w:w="2977" w:type="dxa"/>
          </w:tcPr>
          <w:p w:rsidR="00836289" w:rsidRPr="004864BD" w:rsidRDefault="00836289" w:rsidP="001434D1">
            <w:r w:rsidRPr="004864BD">
              <w:t>Adviseert over risicobeheersing (het voorkomen van rampen en crises)</w:t>
            </w:r>
          </w:p>
        </w:tc>
        <w:tc>
          <w:tcPr>
            <w:tcW w:w="6520" w:type="dxa"/>
          </w:tcPr>
          <w:p w:rsidR="00836289" w:rsidRPr="004864BD" w:rsidRDefault="00836289" w:rsidP="00990F45">
            <w:pPr>
              <w:numPr>
                <w:ilvl w:val="0"/>
                <w:numId w:val="52"/>
              </w:numPr>
              <w:contextualSpacing/>
            </w:pPr>
            <w:r w:rsidRPr="004864BD">
              <w:t>bijdragen aan multidisciplinaire advisering over evenementen en grootschalige infrastructurele projecten aan gemeenten</w:t>
            </w:r>
            <w:r>
              <w:t>,</w:t>
            </w:r>
            <w:r w:rsidRPr="004864BD">
              <w:t xml:space="preserve"> andere overheden</w:t>
            </w:r>
            <w:r>
              <w:t xml:space="preserve"> en bedrijven (mede in relatie met de Omgevingswet)</w:t>
            </w:r>
          </w:p>
        </w:tc>
        <w:tc>
          <w:tcPr>
            <w:tcW w:w="3969" w:type="dxa"/>
            <w:vMerge w:val="restart"/>
          </w:tcPr>
          <w:p w:rsidR="00836289" w:rsidRPr="004864BD" w:rsidRDefault="00836289" w:rsidP="001434D1">
            <w:r w:rsidRPr="004864BD">
              <w:t>Optreden van gezondheidsschade voor burgers voorkomen en /of beperken.</w:t>
            </w:r>
          </w:p>
          <w:p w:rsidR="00836289" w:rsidRPr="004864BD" w:rsidRDefault="00836289" w:rsidP="001434D1"/>
        </w:tc>
      </w:tr>
      <w:tr w:rsidR="00836289" w:rsidRPr="004864BD" w:rsidTr="001434D1">
        <w:tc>
          <w:tcPr>
            <w:tcW w:w="2093" w:type="dxa"/>
            <w:vMerge/>
          </w:tcPr>
          <w:p w:rsidR="00836289" w:rsidRPr="004864BD" w:rsidRDefault="00836289" w:rsidP="001434D1"/>
        </w:tc>
        <w:tc>
          <w:tcPr>
            <w:tcW w:w="2977" w:type="dxa"/>
          </w:tcPr>
          <w:p w:rsidR="00836289" w:rsidRPr="004864BD" w:rsidRDefault="00836289" w:rsidP="001434D1">
            <w:r w:rsidRPr="004864BD">
              <w:t>Adviseert over crisisbeheersing (het optreden tijdens rampen en crises</w:t>
            </w:r>
            <w:r>
              <w:t xml:space="preserve"> of (dreigende) verstoring van de zorg continuïteit</w:t>
            </w:r>
            <w:r w:rsidRPr="004864BD">
              <w:t>)</w:t>
            </w:r>
          </w:p>
        </w:tc>
        <w:tc>
          <w:tcPr>
            <w:tcW w:w="6520" w:type="dxa"/>
          </w:tcPr>
          <w:p w:rsidR="00836289" w:rsidRDefault="00836289" w:rsidP="00FB727F">
            <w:pPr>
              <w:numPr>
                <w:ilvl w:val="0"/>
                <w:numId w:val="52"/>
              </w:numPr>
              <w:contextualSpacing/>
            </w:pPr>
            <w:r w:rsidRPr="004864BD">
              <w:t>bijdragen aan en/of mede opstellen van mono- en multidisciplinaire planvorming op het gebied van geneeskundige hulpverlening</w:t>
            </w:r>
          </w:p>
          <w:p w:rsidR="00836289" w:rsidRPr="004864BD" w:rsidRDefault="00836289" w:rsidP="001434D1">
            <w:pPr>
              <w:ind w:left="360"/>
              <w:contextualSpacing/>
            </w:pPr>
          </w:p>
        </w:tc>
        <w:tc>
          <w:tcPr>
            <w:tcW w:w="3969" w:type="dxa"/>
            <w:vMerge/>
          </w:tcPr>
          <w:p w:rsidR="00836289" w:rsidRPr="004864BD" w:rsidRDefault="00836289" w:rsidP="001434D1"/>
        </w:tc>
      </w:tr>
    </w:tbl>
    <w:p w:rsidR="00DD539A" w:rsidRDefault="00DD539A" w:rsidP="00DD539A">
      <w:pPr>
        <w:pStyle w:val="Geenafstand"/>
      </w:pPr>
    </w:p>
    <w:p w:rsidR="00DD539A" w:rsidRPr="003542F3" w:rsidRDefault="00DD539A" w:rsidP="00DD539A">
      <w:pPr>
        <w:rPr>
          <w:b/>
        </w:rPr>
        <w:sectPr w:rsidR="00DD539A" w:rsidRPr="003542F3" w:rsidSect="00BF0184">
          <w:pgSz w:w="16838" w:h="11906" w:orient="landscape"/>
          <w:pgMar w:top="1417" w:right="1417" w:bottom="1417" w:left="1417" w:header="708" w:footer="708" w:gutter="0"/>
          <w:cols w:space="708"/>
          <w:docGrid w:linePitch="360"/>
        </w:sectPr>
      </w:pPr>
      <w:r>
        <w:rPr>
          <w:b/>
        </w:rPr>
        <w:tab/>
      </w:r>
      <w:r>
        <w:rPr>
          <w:b/>
        </w:rPr>
        <w:tab/>
      </w:r>
      <w:r>
        <w:rPr>
          <w:b/>
        </w:rPr>
        <w:tab/>
      </w:r>
      <w:r>
        <w:rPr>
          <w:b/>
        </w:rPr>
        <w:tab/>
      </w:r>
    </w:p>
    <w:p w:rsidR="00DD539A" w:rsidRPr="003542F3" w:rsidRDefault="00DD539A" w:rsidP="00DD539A">
      <w:pPr>
        <w:rPr>
          <w:b/>
        </w:rPr>
      </w:pPr>
      <w:r w:rsidRPr="003542F3">
        <w:rPr>
          <w:b/>
        </w:rPr>
        <w:lastRenderedPageBreak/>
        <w:t>Wat mag het kosten?</w:t>
      </w:r>
    </w:p>
    <w:p w:rsidR="00D3377C" w:rsidRDefault="00691BED" w:rsidP="00AA1990">
      <w:pPr>
        <w:rPr>
          <w:noProof/>
          <w:lang w:eastAsia="nl-NL"/>
        </w:rPr>
      </w:pPr>
      <w:r w:rsidRPr="00691BED">
        <w:rPr>
          <w:noProof/>
          <w:lang w:eastAsia="nl-NL"/>
        </w:rPr>
        <w:drawing>
          <wp:inline distT="0" distB="0" distL="0" distR="0" wp14:anchorId="0D10EB42" wp14:editId="5D1E00DE">
            <wp:extent cx="5760720" cy="4213064"/>
            <wp:effectExtent l="0" t="0" r="0" b="0"/>
            <wp:docPr id="81" name="Afbeelding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60720" cy="4213064"/>
                    </a:xfrm>
                    <a:prstGeom prst="rect">
                      <a:avLst/>
                    </a:prstGeom>
                    <a:noFill/>
                    <a:ln>
                      <a:noFill/>
                    </a:ln>
                  </pic:spPr>
                </pic:pic>
              </a:graphicData>
            </a:graphic>
          </wp:inline>
        </w:drawing>
      </w:r>
    </w:p>
    <w:p w:rsidR="00F876BE" w:rsidRPr="003542F3" w:rsidRDefault="00691BED" w:rsidP="00DD539A">
      <w:r w:rsidRPr="00691BED">
        <w:rPr>
          <w:noProof/>
          <w:lang w:eastAsia="nl-NL"/>
        </w:rPr>
        <w:drawing>
          <wp:inline distT="0" distB="0" distL="0" distR="0" wp14:anchorId="63141FD6" wp14:editId="161630C2">
            <wp:extent cx="5448300" cy="3267075"/>
            <wp:effectExtent l="0" t="0" r="0" b="9525"/>
            <wp:docPr id="82" name="Afbeelding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48300" cy="3267075"/>
                    </a:xfrm>
                    <a:prstGeom prst="rect">
                      <a:avLst/>
                    </a:prstGeom>
                    <a:noFill/>
                    <a:ln>
                      <a:noFill/>
                    </a:ln>
                  </pic:spPr>
                </pic:pic>
              </a:graphicData>
            </a:graphic>
          </wp:inline>
        </w:drawing>
      </w:r>
    </w:p>
    <w:p w:rsidR="00DD539A" w:rsidRDefault="00DD539A" w:rsidP="00DD539A">
      <w:pPr>
        <w:rPr>
          <w:sz w:val="20"/>
          <w:szCs w:val="20"/>
        </w:rPr>
      </w:pPr>
    </w:p>
    <w:p w:rsidR="00007BBE" w:rsidRDefault="00007BBE">
      <w:pPr>
        <w:rPr>
          <w:rFonts w:asciiTheme="majorHAnsi" w:eastAsiaTheme="majorEastAsia" w:hAnsiTheme="majorHAnsi" w:cstheme="majorBidi"/>
          <w:b/>
          <w:bCs/>
          <w:color w:val="4F81BD" w:themeColor="accent1"/>
          <w:sz w:val="26"/>
          <w:szCs w:val="26"/>
        </w:rPr>
      </w:pPr>
      <w:bookmarkStart w:id="17" w:name="_Toc436144459"/>
      <w:r>
        <w:br w:type="page"/>
      </w:r>
    </w:p>
    <w:p w:rsidR="00AC16D7" w:rsidRDefault="00AC16D7" w:rsidP="0069463B">
      <w:pPr>
        <w:pStyle w:val="Kop2"/>
        <w:numPr>
          <w:ilvl w:val="1"/>
          <w:numId w:val="1"/>
        </w:numPr>
      </w:pPr>
      <w:bookmarkStart w:id="18" w:name="_Toc478655809"/>
      <w:r>
        <w:lastRenderedPageBreak/>
        <w:t xml:space="preserve">Programma </w:t>
      </w:r>
      <w:r w:rsidR="00701E62">
        <w:t>Multidiscipli</w:t>
      </w:r>
      <w:r w:rsidR="00AD0BBB">
        <w:t xml:space="preserve">naire </w:t>
      </w:r>
      <w:r w:rsidR="00282673">
        <w:t>samenwerking</w:t>
      </w:r>
      <w:bookmarkEnd w:id="17"/>
      <w:bookmarkEnd w:id="18"/>
    </w:p>
    <w:p w:rsidR="003542F3" w:rsidRDefault="003542F3" w:rsidP="00AD0BBB">
      <w:pPr>
        <w:pStyle w:val="Geenafstand"/>
      </w:pPr>
    </w:p>
    <w:p w:rsidR="00DD539A" w:rsidRPr="00BB4CCA" w:rsidRDefault="00DD539A" w:rsidP="00DD539A">
      <w:pPr>
        <w:rPr>
          <w:b/>
        </w:rPr>
      </w:pPr>
      <w:r w:rsidRPr="00BB4CCA">
        <w:rPr>
          <w:b/>
        </w:rPr>
        <w:t>Ambitie van het programma</w:t>
      </w:r>
    </w:p>
    <w:p w:rsidR="00DD539A" w:rsidRDefault="00DD539A" w:rsidP="00DD539A">
      <w:pPr>
        <w:rPr>
          <w:rFonts w:cstheme="minorHAnsi"/>
        </w:rPr>
      </w:pPr>
      <w:r>
        <w:rPr>
          <w:rFonts w:cstheme="minorHAnsi"/>
        </w:rPr>
        <w:t>“V</w:t>
      </w:r>
      <w:r w:rsidRPr="00BB4CCA">
        <w:rPr>
          <w:rFonts w:cstheme="minorHAnsi"/>
        </w:rPr>
        <w:t xml:space="preserve">erbeteren en borgen </w:t>
      </w:r>
      <w:r>
        <w:rPr>
          <w:rFonts w:cstheme="minorHAnsi"/>
        </w:rPr>
        <w:t xml:space="preserve">van </w:t>
      </w:r>
      <w:r w:rsidRPr="00BB4CCA">
        <w:rPr>
          <w:rFonts w:cstheme="minorHAnsi"/>
        </w:rPr>
        <w:t>de veiligheid en gezondheid van de burgers in de regio Kennemerland</w:t>
      </w:r>
      <w:r>
        <w:rPr>
          <w:rFonts w:cstheme="minorHAnsi"/>
        </w:rPr>
        <w:t>”</w:t>
      </w:r>
      <w:r w:rsidR="003C4AB3">
        <w:rPr>
          <w:rFonts w:cstheme="minorHAnsi"/>
        </w:rPr>
        <w:t>,</w:t>
      </w:r>
      <w:r>
        <w:rPr>
          <w:rFonts w:cstheme="minorHAnsi"/>
        </w:rPr>
        <w:t xml:space="preserve"> dat is de ambitie van</w:t>
      </w:r>
      <w:r w:rsidRPr="00BB4CCA">
        <w:rPr>
          <w:rFonts w:cstheme="minorHAnsi"/>
        </w:rPr>
        <w:t xml:space="preserve"> gemeenten, politie, </w:t>
      </w:r>
      <w:proofErr w:type="spellStart"/>
      <w:r w:rsidRPr="00BB4CCA">
        <w:rPr>
          <w:rFonts w:cstheme="minorHAnsi"/>
        </w:rPr>
        <w:t>KMar</w:t>
      </w:r>
      <w:proofErr w:type="spellEnd"/>
      <w:r w:rsidRPr="00BB4CCA">
        <w:rPr>
          <w:rFonts w:cstheme="minorHAnsi"/>
        </w:rPr>
        <w:t>, GGD en brandweer</w:t>
      </w:r>
      <w:r w:rsidR="003C4AB3">
        <w:rPr>
          <w:rFonts w:cstheme="minorHAnsi"/>
        </w:rPr>
        <w:t xml:space="preserve"> bij hun (intensieve) </w:t>
      </w:r>
      <w:r w:rsidR="003C4AB3" w:rsidRPr="00BB4CCA">
        <w:rPr>
          <w:rFonts w:cstheme="minorHAnsi"/>
        </w:rPr>
        <w:t>multidisciplinaire samenwerking</w:t>
      </w:r>
      <w:r>
        <w:rPr>
          <w:rFonts w:cstheme="minorHAnsi"/>
        </w:rPr>
        <w:t>.</w:t>
      </w:r>
    </w:p>
    <w:p w:rsidR="00DD539A" w:rsidRPr="00BB4CCA" w:rsidRDefault="00DD539A" w:rsidP="00DD539A">
      <w:pPr>
        <w:rPr>
          <w:b/>
        </w:rPr>
      </w:pPr>
      <w:r w:rsidRPr="00BB4CCA">
        <w:rPr>
          <w:b/>
        </w:rPr>
        <w:t>Uitgangspunt</w:t>
      </w:r>
      <w:r w:rsidR="009C28CF">
        <w:rPr>
          <w:b/>
        </w:rPr>
        <w:t xml:space="preserve">en van beleid </w:t>
      </w:r>
    </w:p>
    <w:p w:rsidR="00DD539A" w:rsidRPr="001612FD" w:rsidRDefault="00DD539A" w:rsidP="00DD539A">
      <w:pPr>
        <w:rPr>
          <w:rFonts w:cs="Apex New Book"/>
          <w:color w:val="000000"/>
        </w:rPr>
      </w:pPr>
      <w:r w:rsidRPr="001612FD">
        <w:rPr>
          <w:rFonts w:cs="Apex New Book"/>
          <w:color w:val="000000"/>
        </w:rPr>
        <w:t>De partners in veiligheid zijn met elkaar</w:t>
      </w:r>
      <w:r w:rsidRPr="00A00ED7">
        <w:rPr>
          <w:rFonts w:cs="Apex New Book"/>
          <w:color w:val="000000"/>
        </w:rPr>
        <w:t xml:space="preserve"> </w:t>
      </w:r>
      <w:r w:rsidRPr="001612FD">
        <w:rPr>
          <w:rFonts w:cs="Apex New Book"/>
          <w:color w:val="000000"/>
        </w:rPr>
        <w:t xml:space="preserve">verbonden door </w:t>
      </w:r>
      <w:r>
        <w:rPr>
          <w:rFonts w:cs="Apex New Book"/>
          <w:color w:val="000000"/>
        </w:rPr>
        <w:t xml:space="preserve">een </w:t>
      </w:r>
      <w:r w:rsidRPr="001612FD">
        <w:rPr>
          <w:rFonts w:cs="Apex New Book"/>
          <w:color w:val="000000"/>
        </w:rPr>
        <w:t>slim</w:t>
      </w:r>
      <w:r>
        <w:rPr>
          <w:rFonts w:cs="Apex New Book"/>
          <w:color w:val="000000"/>
        </w:rPr>
        <w:t xml:space="preserve">me </w:t>
      </w:r>
      <w:r w:rsidRPr="001612FD">
        <w:rPr>
          <w:rFonts w:cs="Apex New Book"/>
          <w:color w:val="000000"/>
        </w:rPr>
        <w:t>combin</w:t>
      </w:r>
      <w:r>
        <w:rPr>
          <w:rFonts w:cs="Apex New Book"/>
          <w:color w:val="000000"/>
        </w:rPr>
        <w:t>atie van</w:t>
      </w:r>
      <w:r w:rsidRPr="001612FD">
        <w:rPr>
          <w:rFonts w:cs="Apex New Book"/>
          <w:color w:val="000000"/>
        </w:rPr>
        <w:t xml:space="preserve"> netwerken. Inwoners en bedrijven kennen en dragen hun eigen verantwoordelijkheid. De veiligheidsregio </w:t>
      </w:r>
      <w:r>
        <w:rPr>
          <w:rFonts w:cs="Apex New Book"/>
          <w:color w:val="000000"/>
        </w:rPr>
        <w:t>is</w:t>
      </w:r>
      <w:r w:rsidRPr="001612FD">
        <w:rPr>
          <w:rFonts w:cs="Apex New Book"/>
          <w:color w:val="000000"/>
        </w:rPr>
        <w:t xml:space="preserve"> hierbij de spin in het web. De veiligheidsregio ziet toe op en inspireert tot samenwerking en borging van een sterke keten van gezondheid en veiligheid. </w:t>
      </w:r>
    </w:p>
    <w:p w:rsidR="00DD539A" w:rsidRDefault="00DD539A" w:rsidP="00DD539A">
      <w:pPr>
        <w:rPr>
          <w:rFonts w:cs="Apex New Book"/>
          <w:color w:val="000000"/>
        </w:rPr>
      </w:pPr>
      <w:r>
        <w:rPr>
          <w:rFonts w:cs="Apex New Book"/>
          <w:color w:val="000000"/>
        </w:rPr>
        <w:t xml:space="preserve">De VRK </w:t>
      </w:r>
      <w:r w:rsidRPr="001612FD">
        <w:rPr>
          <w:rFonts w:cs="Apex New Book"/>
          <w:color w:val="000000"/>
        </w:rPr>
        <w:t>fungee</w:t>
      </w:r>
      <w:r>
        <w:rPr>
          <w:rFonts w:cs="Apex New Book"/>
          <w:color w:val="000000"/>
        </w:rPr>
        <w:t>rt</w:t>
      </w:r>
      <w:r w:rsidRPr="001612FD">
        <w:rPr>
          <w:rFonts w:cs="Apex New Book"/>
          <w:color w:val="000000"/>
        </w:rPr>
        <w:t xml:space="preserve"> en acte</w:t>
      </w:r>
      <w:r>
        <w:rPr>
          <w:rFonts w:cs="Apex New Book"/>
          <w:color w:val="000000"/>
        </w:rPr>
        <w:t>e</w:t>
      </w:r>
      <w:r w:rsidRPr="001612FD">
        <w:rPr>
          <w:rFonts w:cs="Apex New Book"/>
          <w:color w:val="000000"/>
        </w:rPr>
        <w:t>r</w:t>
      </w:r>
      <w:r>
        <w:rPr>
          <w:rFonts w:cs="Apex New Book"/>
          <w:color w:val="000000"/>
        </w:rPr>
        <w:t>t</w:t>
      </w:r>
      <w:r w:rsidRPr="001612FD">
        <w:rPr>
          <w:rFonts w:cs="Apex New Book"/>
          <w:color w:val="000000"/>
        </w:rPr>
        <w:t xml:space="preserve"> als een hoeder van veiligheid en gezondheid van de bevolking tegen de laagst mogelijke kosten. Om dat geloofwaardig te doen is een minimumvereiste dat de VRK haar wettelijke taken naar behoren uitvoert, dat de vakbekwaamheid van de medewerkers op hoog niveau is en dat de organisatie beschikt over de meest recente kennis en informatie. De organisatie moet</w:t>
      </w:r>
      <w:r>
        <w:rPr>
          <w:rFonts w:cs="Apex New Book"/>
          <w:color w:val="000000"/>
        </w:rPr>
        <w:t xml:space="preserve"> </w:t>
      </w:r>
      <w:r w:rsidRPr="001612FD">
        <w:rPr>
          <w:rFonts w:cs="Apex New Book"/>
          <w:color w:val="000000"/>
        </w:rPr>
        <w:t>daarvoor ook gebruik maken van de ervaringen die ze opdoet tijdens een incident of oefening en steeds weer verbeteringen doorvoeren. Bij het waarmaken van de ambitie is eenduidige communicatie verder essentieel. Als VRK willen wij dan ook helder communiceren over de (on)mogelijkheden van de veiligheidsregio en over de zelfredzaamheid van inwoners, bezoekers en bedrijven.</w:t>
      </w:r>
    </w:p>
    <w:p w:rsidR="00DD539A" w:rsidRPr="001612FD" w:rsidRDefault="00F5515A" w:rsidP="00DD539A">
      <w:r w:rsidRPr="00D3377C">
        <w:t>De bouwkundige oplevering van de nieuwe meldkamer Noord Holland is gepland begin februari 2018. Daarna is tot juli tijd gepland om de nieuwe meldkamer te voorzien van de noodzakelijke ICT techniek. Vanaf juli 2018 zal de nieuwe meldkamer</w:t>
      </w:r>
      <w:r w:rsidR="005615F6">
        <w:t xml:space="preserve"> </w:t>
      </w:r>
      <w:r w:rsidRPr="00D3377C">
        <w:t xml:space="preserve">voor operationeel gebruik beschikbaar zijn. De realisatie van de nieuwe meldkamer is een verantwoordelijkheid van de VRK. De transitie en samenvoeging </w:t>
      </w:r>
      <w:r w:rsidR="00432F85" w:rsidRPr="00D3377C">
        <w:t>tot een soepel werkend geheel is een gezamenlijke verantwoordelijkheid van de</w:t>
      </w:r>
      <w:r w:rsidR="005615F6">
        <w:t xml:space="preserve"> </w:t>
      </w:r>
      <w:r w:rsidR="00DD539A" w:rsidRPr="00D3377C">
        <w:t>betrokken veiligheidsregio’s.</w:t>
      </w:r>
    </w:p>
    <w:p w:rsidR="00DE4385" w:rsidRPr="00DE4385" w:rsidRDefault="00DE4385" w:rsidP="00DE4385">
      <w:r w:rsidRPr="00DE4385">
        <w:rPr>
          <w:b/>
        </w:rPr>
        <w:t>Relevante Beleidsnotities en wettelijk kader</w:t>
      </w:r>
    </w:p>
    <w:p w:rsidR="00DD539A" w:rsidRPr="00BB4CCA" w:rsidRDefault="00DD539A" w:rsidP="009312EE">
      <w:pPr>
        <w:numPr>
          <w:ilvl w:val="0"/>
          <w:numId w:val="2"/>
        </w:numPr>
        <w:contextualSpacing/>
      </w:pPr>
      <w:r w:rsidRPr="00BB4CCA">
        <w:t>Regionaal Risicoprofiel Kennemerland</w:t>
      </w:r>
    </w:p>
    <w:p w:rsidR="00DD539A" w:rsidRPr="00BB4CCA" w:rsidRDefault="00DD539A" w:rsidP="009312EE">
      <w:pPr>
        <w:numPr>
          <w:ilvl w:val="0"/>
          <w:numId w:val="2"/>
        </w:numPr>
        <w:contextualSpacing/>
      </w:pPr>
      <w:r w:rsidRPr="00BB4CCA">
        <w:t>Regionaal Beleidsplan Crisisbeheersing 2015-2018</w:t>
      </w:r>
    </w:p>
    <w:p w:rsidR="00D7060D" w:rsidRDefault="00DD539A" w:rsidP="009312EE">
      <w:pPr>
        <w:numPr>
          <w:ilvl w:val="0"/>
          <w:numId w:val="2"/>
        </w:numPr>
        <w:contextualSpacing/>
      </w:pPr>
      <w:r w:rsidRPr="00BB4CCA">
        <w:t>Meerjarig beleidsplan Multidisciplinair Opleiden, Trainen en Oefenen 2016-2019</w:t>
      </w:r>
    </w:p>
    <w:p w:rsidR="00DD539A" w:rsidRDefault="00DD539A" w:rsidP="009312EE">
      <w:pPr>
        <w:numPr>
          <w:ilvl w:val="0"/>
          <w:numId w:val="2"/>
        </w:numPr>
        <w:contextualSpacing/>
      </w:pPr>
      <w:r>
        <w:t>Tran</w:t>
      </w:r>
      <w:r w:rsidR="00C23D42">
        <w:t>sitie</w:t>
      </w:r>
      <w:r>
        <w:t>akkoord LMO</w:t>
      </w:r>
    </w:p>
    <w:p w:rsidR="000C2C71" w:rsidRPr="00BB4CCA" w:rsidRDefault="000C2C71" w:rsidP="009312EE">
      <w:pPr>
        <w:numPr>
          <w:ilvl w:val="0"/>
          <w:numId w:val="2"/>
        </w:numPr>
        <w:contextualSpacing/>
      </w:pPr>
      <w:r>
        <w:t>Samenvoegingsplan Meldkamer Noord-Holland</w:t>
      </w:r>
    </w:p>
    <w:p w:rsidR="00DD539A" w:rsidRPr="00BB4CCA" w:rsidRDefault="00DD539A" w:rsidP="00DD539A">
      <w:pPr>
        <w:rPr>
          <w:b/>
        </w:rPr>
      </w:pPr>
      <w:r w:rsidRPr="00BB4CCA">
        <w:rPr>
          <w:b/>
        </w:rPr>
        <w:t>Risico’s</w:t>
      </w:r>
    </w:p>
    <w:tbl>
      <w:tblPr>
        <w:tblStyle w:val="Tabelraster"/>
        <w:tblW w:w="0" w:type="auto"/>
        <w:tblLook w:val="04A0" w:firstRow="1" w:lastRow="0" w:firstColumn="1" w:lastColumn="0" w:noHBand="0" w:noVBand="1"/>
      </w:tblPr>
      <w:tblGrid>
        <w:gridCol w:w="4077"/>
        <w:gridCol w:w="4536"/>
      </w:tblGrid>
      <w:tr w:rsidR="00DD539A" w:rsidRPr="00D7060D" w:rsidTr="000C2C71">
        <w:tc>
          <w:tcPr>
            <w:tcW w:w="4077" w:type="dxa"/>
            <w:shd w:val="clear" w:color="auto" w:fill="C6D9F1" w:themeFill="text2" w:themeFillTint="33"/>
          </w:tcPr>
          <w:p w:rsidR="00DD539A" w:rsidRPr="00D7060D" w:rsidRDefault="00DD539A" w:rsidP="00DD539A">
            <w:r w:rsidRPr="00D7060D">
              <w:t>Risico</w:t>
            </w:r>
          </w:p>
        </w:tc>
        <w:tc>
          <w:tcPr>
            <w:tcW w:w="4536" w:type="dxa"/>
            <w:shd w:val="clear" w:color="auto" w:fill="C6D9F1" w:themeFill="text2" w:themeFillTint="33"/>
          </w:tcPr>
          <w:p w:rsidR="00DD539A" w:rsidRPr="00D7060D" w:rsidRDefault="00DD539A" w:rsidP="00DD539A">
            <w:r w:rsidRPr="00D7060D">
              <w:t>Beheersmaatregel</w:t>
            </w:r>
          </w:p>
        </w:tc>
      </w:tr>
      <w:tr w:rsidR="00DD539A" w:rsidRPr="00D7060D" w:rsidTr="000C2C71">
        <w:tc>
          <w:tcPr>
            <w:tcW w:w="4077" w:type="dxa"/>
          </w:tcPr>
          <w:p w:rsidR="00DD539A" w:rsidRPr="00D7060D" w:rsidRDefault="00DD539A" w:rsidP="00DD539A">
            <w:r w:rsidRPr="00D7060D">
              <w:rPr>
                <w:rFonts w:cs="Tahoma"/>
              </w:rPr>
              <w:t xml:space="preserve">Onvoldoende betrokkenheid en draagvlak bij derden </w:t>
            </w:r>
          </w:p>
        </w:tc>
        <w:tc>
          <w:tcPr>
            <w:tcW w:w="4536" w:type="dxa"/>
          </w:tcPr>
          <w:p w:rsidR="00DD539A" w:rsidRPr="00D7060D" w:rsidRDefault="00DD539A" w:rsidP="00DD539A">
            <w:r w:rsidRPr="00D7060D">
              <w:rPr>
                <w:rFonts w:eastAsia="Times New Roman" w:cs="Tahoma"/>
                <w:lang w:eastAsia="nl-NL"/>
              </w:rPr>
              <w:t>Prioriteitenlijst producten en personele capaciteit afstemmen met partners.</w:t>
            </w:r>
          </w:p>
        </w:tc>
      </w:tr>
      <w:tr w:rsidR="00DD539A" w:rsidRPr="00D7060D" w:rsidTr="000C2C71">
        <w:tc>
          <w:tcPr>
            <w:tcW w:w="4077" w:type="dxa"/>
          </w:tcPr>
          <w:p w:rsidR="00DD539A" w:rsidRPr="00D7060D" w:rsidRDefault="00DD539A" w:rsidP="00DD539A">
            <w:r w:rsidRPr="00D7060D">
              <w:t xml:space="preserve">Onvoldoende kwalitatieve </w:t>
            </w:r>
            <w:r w:rsidRPr="00D7060D">
              <w:rPr>
                <w:rFonts w:cs="Calibri"/>
              </w:rPr>
              <w:t>o</w:t>
            </w:r>
            <w:r w:rsidRPr="00D7060D">
              <w:t>ndersteuning / advisering van het multidisciplinaire besluitvormingsproces</w:t>
            </w:r>
          </w:p>
        </w:tc>
        <w:tc>
          <w:tcPr>
            <w:tcW w:w="4536" w:type="dxa"/>
          </w:tcPr>
          <w:p w:rsidR="00DD539A" w:rsidRPr="00D7060D" w:rsidRDefault="00DD539A" w:rsidP="00DD539A">
            <w:r w:rsidRPr="00D7060D">
              <w:rPr>
                <w:rFonts w:eastAsia="Times New Roman" w:cs="Tahoma"/>
                <w:lang w:eastAsia="nl-NL"/>
              </w:rPr>
              <w:t>Borgen van continue, goede informatiepositie binnen en buiten de VRK en goed opgeleide medewerkers.</w:t>
            </w:r>
          </w:p>
        </w:tc>
      </w:tr>
      <w:tr w:rsidR="00DD539A" w:rsidRPr="00D7060D" w:rsidTr="000C2C71">
        <w:tc>
          <w:tcPr>
            <w:tcW w:w="4077" w:type="dxa"/>
          </w:tcPr>
          <w:p w:rsidR="00DD539A" w:rsidRPr="00D7060D" w:rsidRDefault="00DD539A" w:rsidP="00DD539A">
            <w:r w:rsidRPr="00D7060D">
              <w:rPr>
                <w:rFonts w:cs="Tahoma"/>
              </w:rPr>
              <w:t xml:space="preserve">Onvoldoende bijdragen aan lerende </w:t>
            </w:r>
            <w:r w:rsidRPr="00D7060D">
              <w:rPr>
                <w:rFonts w:cs="Tahoma"/>
              </w:rPr>
              <w:lastRenderedPageBreak/>
              <w:t xml:space="preserve">organisatie. </w:t>
            </w:r>
          </w:p>
        </w:tc>
        <w:tc>
          <w:tcPr>
            <w:tcW w:w="4536" w:type="dxa"/>
          </w:tcPr>
          <w:p w:rsidR="00DD539A" w:rsidRPr="00D7060D" w:rsidRDefault="00DD539A" w:rsidP="00DD539A">
            <w:r w:rsidRPr="00D7060D">
              <w:lastRenderedPageBreak/>
              <w:t xml:space="preserve">Vastgesteld evaluatieprotocol en beleid op het </w:t>
            </w:r>
            <w:r w:rsidRPr="00D7060D">
              <w:lastRenderedPageBreak/>
              <w:t xml:space="preserve">borgen van leer en verbeterpunten. </w:t>
            </w:r>
          </w:p>
        </w:tc>
      </w:tr>
      <w:tr w:rsidR="000C2C71" w:rsidRPr="00D7060D" w:rsidTr="000C2C71">
        <w:tc>
          <w:tcPr>
            <w:tcW w:w="4077" w:type="dxa"/>
          </w:tcPr>
          <w:p w:rsidR="000C2C71" w:rsidRPr="00D7060D" w:rsidRDefault="000C2C71" w:rsidP="00DD539A">
            <w:pPr>
              <w:rPr>
                <w:rFonts w:cs="Tahoma"/>
              </w:rPr>
            </w:pPr>
            <w:r>
              <w:rPr>
                <w:rFonts w:cs="Tahoma"/>
              </w:rPr>
              <w:lastRenderedPageBreak/>
              <w:t>Onvoldoende uniforme processen in meldkamer NH</w:t>
            </w:r>
          </w:p>
        </w:tc>
        <w:tc>
          <w:tcPr>
            <w:tcW w:w="4536" w:type="dxa"/>
          </w:tcPr>
          <w:p w:rsidR="000C2C71" w:rsidRPr="00D7060D" w:rsidRDefault="000C2C71" w:rsidP="00DD539A">
            <w:r>
              <w:t>Samenvoeging voorbereiden gestart per januari 2017</w:t>
            </w:r>
          </w:p>
        </w:tc>
      </w:tr>
    </w:tbl>
    <w:p w:rsidR="00DF050E" w:rsidRDefault="00DF050E">
      <w:pPr>
        <w:rPr>
          <w:b/>
        </w:rPr>
        <w:sectPr w:rsidR="00DF050E" w:rsidSect="001B4283">
          <w:pgSz w:w="11906" w:h="16838"/>
          <w:pgMar w:top="1417" w:right="1417" w:bottom="1417" w:left="1417" w:header="708" w:footer="708" w:gutter="0"/>
          <w:cols w:space="708"/>
          <w:docGrid w:linePitch="360"/>
        </w:sectPr>
      </w:pPr>
    </w:p>
    <w:p w:rsidR="00243680" w:rsidRPr="00BB4CCA" w:rsidRDefault="00243680" w:rsidP="00243680">
      <w:pPr>
        <w:rPr>
          <w:b/>
        </w:rPr>
      </w:pPr>
      <w:r w:rsidRPr="00BB4CCA">
        <w:rPr>
          <w:b/>
        </w:rPr>
        <w:lastRenderedPageBreak/>
        <w:t>Doelenboom</w:t>
      </w:r>
    </w:p>
    <w:tbl>
      <w:tblPr>
        <w:tblStyle w:val="Tabelraster"/>
        <w:tblW w:w="0" w:type="auto"/>
        <w:tblLook w:val="04A0" w:firstRow="1" w:lastRow="0" w:firstColumn="1" w:lastColumn="0" w:noHBand="0" w:noVBand="1"/>
      </w:tblPr>
      <w:tblGrid>
        <w:gridCol w:w="2093"/>
        <w:gridCol w:w="147"/>
        <w:gridCol w:w="2688"/>
        <w:gridCol w:w="5812"/>
        <w:gridCol w:w="3402"/>
      </w:tblGrid>
      <w:tr w:rsidR="00243680" w:rsidRPr="00BB4CCA" w:rsidTr="00243680">
        <w:tc>
          <w:tcPr>
            <w:tcW w:w="4928" w:type="dxa"/>
            <w:gridSpan w:val="3"/>
          </w:tcPr>
          <w:p w:rsidR="00243680" w:rsidRPr="00BB4CCA" w:rsidRDefault="00243680" w:rsidP="00243680">
            <w:pPr>
              <w:rPr>
                <w:i/>
              </w:rPr>
            </w:pPr>
            <w:r w:rsidRPr="00BB4CCA">
              <w:rPr>
                <w:i/>
              </w:rPr>
              <w:t>Wat willen we bereiken</w:t>
            </w:r>
          </w:p>
        </w:tc>
        <w:tc>
          <w:tcPr>
            <w:tcW w:w="5812" w:type="dxa"/>
          </w:tcPr>
          <w:p w:rsidR="00243680" w:rsidRPr="00BB4CCA" w:rsidRDefault="00243680" w:rsidP="00243680">
            <w:pPr>
              <w:rPr>
                <w:i/>
              </w:rPr>
            </w:pPr>
            <w:r w:rsidRPr="00BB4CCA">
              <w:rPr>
                <w:i/>
              </w:rPr>
              <w:t>Wat gaan we er voor doen</w:t>
            </w:r>
          </w:p>
        </w:tc>
        <w:tc>
          <w:tcPr>
            <w:tcW w:w="3402" w:type="dxa"/>
            <w:vMerge w:val="restart"/>
          </w:tcPr>
          <w:p w:rsidR="00243680" w:rsidRPr="00BB4CCA" w:rsidRDefault="00243680" w:rsidP="00243680">
            <w:pPr>
              <w:rPr>
                <w:i/>
              </w:rPr>
            </w:pPr>
            <w:r w:rsidRPr="00BB4CCA">
              <w:rPr>
                <w:i/>
              </w:rPr>
              <w:t>Wat is het beoogd maatschappelijk effect</w:t>
            </w:r>
          </w:p>
        </w:tc>
      </w:tr>
      <w:tr w:rsidR="00243680" w:rsidRPr="00BB4CCA" w:rsidTr="00243680">
        <w:tc>
          <w:tcPr>
            <w:tcW w:w="2240" w:type="dxa"/>
            <w:gridSpan w:val="2"/>
          </w:tcPr>
          <w:p w:rsidR="00243680" w:rsidRPr="00BB4CCA" w:rsidRDefault="00243680" w:rsidP="00243680">
            <w:r w:rsidRPr="00BB4CCA">
              <w:t>Strategisch doel</w:t>
            </w:r>
          </w:p>
        </w:tc>
        <w:tc>
          <w:tcPr>
            <w:tcW w:w="2688" w:type="dxa"/>
          </w:tcPr>
          <w:p w:rsidR="00243680" w:rsidRPr="00BB4CCA" w:rsidRDefault="00243680" w:rsidP="00243680">
            <w:r w:rsidRPr="00BB4CCA">
              <w:t>Operationeel doel</w:t>
            </w:r>
          </w:p>
        </w:tc>
        <w:tc>
          <w:tcPr>
            <w:tcW w:w="5812" w:type="dxa"/>
          </w:tcPr>
          <w:p w:rsidR="00243680" w:rsidRPr="00BB4CCA" w:rsidRDefault="00243680" w:rsidP="005E2CE6">
            <w:r w:rsidRPr="00BB4CCA">
              <w:t>Prestatie 201</w:t>
            </w:r>
            <w:r w:rsidR="005E2CE6">
              <w:t>8</w:t>
            </w:r>
            <w:r w:rsidRPr="00BB4CCA">
              <w:t>-202</w:t>
            </w:r>
            <w:r w:rsidR="005E2CE6">
              <w:t>1</w:t>
            </w:r>
          </w:p>
        </w:tc>
        <w:tc>
          <w:tcPr>
            <w:tcW w:w="3402" w:type="dxa"/>
            <w:vMerge/>
          </w:tcPr>
          <w:p w:rsidR="00243680" w:rsidRPr="00BB4CCA" w:rsidRDefault="00243680" w:rsidP="00243680"/>
        </w:tc>
      </w:tr>
      <w:tr w:rsidR="00243680" w:rsidRPr="00BB4CCA" w:rsidTr="00243680">
        <w:tc>
          <w:tcPr>
            <w:tcW w:w="14142" w:type="dxa"/>
            <w:gridSpan w:val="5"/>
            <w:shd w:val="clear" w:color="auto" w:fill="C6D9F1" w:themeFill="text2" w:themeFillTint="33"/>
          </w:tcPr>
          <w:p w:rsidR="00243680" w:rsidRPr="00BB4CCA" w:rsidRDefault="00243680" w:rsidP="00243680"/>
        </w:tc>
      </w:tr>
      <w:tr w:rsidR="00243680" w:rsidRPr="00BB4CCA" w:rsidTr="005563DF">
        <w:tc>
          <w:tcPr>
            <w:tcW w:w="2093" w:type="dxa"/>
            <w:vMerge w:val="restart"/>
          </w:tcPr>
          <w:p w:rsidR="00243680" w:rsidRPr="00BB4CCA" w:rsidRDefault="00243680" w:rsidP="00243680">
            <w:r w:rsidRPr="00BB4CCA">
              <w:t>Wij staan voor optimalisering van de crisisbeheersing</w:t>
            </w:r>
          </w:p>
        </w:tc>
        <w:tc>
          <w:tcPr>
            <w:tcW w:w="2835" w:type="dxa"/>
            <w:gridSpan w:val="2"/>
          </w:tcPr>
          <w:p w:rsidR="00243680" w:rsidRPr="00BB4CCA" w:rsidRDefault="00243680" w:rsidP="00243680">
            <w:r w:rsidRPr="00BB4CCA">
              <w:t>Het bevorderen van zelfredzaamheid en veerkracht</w:t>
            </w:r>
          </w:p>
        </w:tc>
        <w:tc>
          <w:tcPr>
            <w:tcW w:w="5812" w:type="dxa"/>
          </w:tcPr>
          <w:p w:rsidR="00243680" w:rsidRPr="00BB4CCA" w:rsidRDefault="00243680" w:rsidP="00FB727F">
            <w:pPr>
              <w:numPr>
                <w:ilvl w:val="0"/>
                <w:numId w:val="48"/>
              </w:numPr>
              <w:contextualSpacing/>
            </w:pPr>
            <w:r w:rsidRPr="00BB4CCA">
              <w:t xml:space="preserve">Uitgaan van een zelfredzame samenleving, waarbij de aandacht in eerste instantie ligt </w:t>
            </w:r>
            <w:r w:rsidR="00DB43FB">
              <w:t>bij</w:t>
            </w:r>
            <w:r w:rsidR="00DB43FB" w:rsidRPr="00BB4CCA">
              <w:t xml:space="preserve"> </w:t>
            </w:r>
            <w:r w:rsidRPr="00BB4CCA">
              <w:t>de minder zelfredzame burgers</w:t>
            </w:r>
          </w:p>
          <w:p w:rsidR="00243680" w:rsidRPr="00BB4CCA" w:rsidRDefault="00243680" w:rsidP="00FB727F">
            <w:pPr>
              <w:numPr>
                <w:ilvl w:val="0"/>
                <w:numId w:val="48"/>
              </w:numPr>
              <w:contextualSpacing/>
            </w:pPr>
            <w:r w:rsidRPr="00BB4CCA">
              <w:t>Burgers optimaal informeren over landelijke en (boven)regionale risico’s.</w:t>
            </w:r>
          </w:p>
          <w:p w:rsidR="00243680" w:rsidRPr="00BB4CCA" w:rsidRDefault="00243680" w:rsidP="00FB727F">
            <w:pPr>
              <w:numPr>
                <w:ilvl w:val="0"/>
                <w:numId w:val="48"/>
              </w:numPr>
              <w:contextualSpacing/>
            </w:pPr>
            <w:r w:rsidRPr="00BB4CCA">
              <w:t>Formuleren tips en handelingsperspectieven voor bevolking, bezoekers en bedrijven in de regio.</w:t>
            </w:r>
            <w:r w:rsidR="005615F6">
              <w:t xml:space="preserve"> </w:t>
            </w:r>
          </w:p>
          <w:p w:rsidR="00243680" w:rsidRPr="00BB4CCA" w:rsidRDefault="00243680" w:rsidP="00FB727F">
            <w:pPr>
              <w:numPr>
                <w:ilvl w:val="0"/>
                <w:numId w:val="48"/>
              </w:numPr>
              <w:contextualSpacing/>
            </w:pPr>
            <w:r w:rsidRPr="00BB4CCA">
              <w:t>Trainen van crisisfunctionarissen over inzet van burgers tijdens rampen en crises.</w:t>
            </w:r>
          </w:p>
        </w:tc>
        <w:tc>
          <w:tcPr>
            <w:tcW w:w="3402" w:type="dxa"/>
            <w:vMerge w:val="restart"/>
          </w:tcPr>
          <w:p w:rsidR="00243680" w:rsidRPr="00BB4CCA" w:rsidRDefault="00243680" w:rsidP="00243680">
            <w:r w:rsidRPr="00BB4CCA">
              <w:t>Het gevoel van veiligheid verhogen.</w:t>
            </w:r>
          </w:p>
        </w:tc>
      </w:tr>
      <w:tr w:rsidR="00243680" w:rsidRPr="00BB4CCA" w:rsidTr="005563DF">
        <w:tc>
          <w:tcPr>
            <w:tcW w:w="2093" w:type="dxa"/>
            <w:vMerge/>
          </w:tcPr>
          <w:p w:rsidR="00243680" w:rsidRPr="00BB4CCA" w:rsidRDefault="00243680" w:rsidP="00243680"/>
        </w:tc>
        <w:tc>
          <w:tcPr>
            <w:tcW w:w="2835" w:type="dxa"/>
            <w:gridSpan w:val="2"/>
          </w:tcPr>
          <w:p w:rsidR="00243680" w:rsidRPr="00BB4CCA" w:rsidRDefault="00243680" w:rsidP="00243680">
            <w:r w:rsidRPr="00BB4CCA">
              <w:t>Het verhogen van de professionaliteit van de crisisorganisatie</w:t>
            </w:r>
          </w:p>
        </w:tc>
        <w:tc>
          <w:tcPr>
            <w:tcW w:w="5812" w:type="dxa"/>
          </w:tcPr>
          <w:p w:rsidR="00243680" w:rsidRPr="00BB4CCA" w:rsidRDefault="00243680" w:rsidP="00FB727F">
            <w:pPr>
              <w:numPr>
                <w:ilvl w:val="0"/>
                <w:numId w:val="47"/>
              </w:numPr>
              <w:contextualSpacing/>
            </w:pPr>
            <w:r w:rsidRPr="00BB4CCA">
              <w:t>Investeren in een professionele crisisorganisatie die in staat is flexibel te opereren in geval van alle mogelijke rampen en crises.</w:t>
            </w:r>
          </w:p>
          <w:p w:rsidR="00243680" w:rsidRPr="00BB4CCA" w:rsidRDefault="00243680" w:rsidP="00FB727F">
            <w:pPr>
              <w:numPr>
                <w:ilvl w:val="0"/>
                <w:numId w:val="47"/>
              </w:numPr>
              <w:contextualSpacing/>
            </w:pPr>
            <w:r w:rsidRPr="00BB4CCA">
              <w:t xml:space="preserve">Het verder professionaliseren van het multidisciplinair opleiden, trainen en oefenprogramma voor crisisfunctionarissen. </w:t>
            </w:r>
          </w:p>
        </w:tc>
        <w:tc>
          <w:tcPr>
            <w:tcW w:w="3402" w:type="dxa"/>
            <w:vMerge/>
          </w:tcPr>
          <w:p w:rsidR="00243680" w:rsidRPr="00BB4CCA" w:rsidRDefault="00243680" w:rsidP="00243680"/>
        </w:tc>
      </w:tr>
      <w:tr w:rsidR="00243680" w:rsidRPr="00BB4CCA" w:rsidTr="005563DF">
        <w:tc>
          <w:tcPr>
            <w:tcW w:w="2093" w:type="dxa"/>
            <w:vMerge/>
          </w:tcPr>
          <w:p w:rsidR="00243680" w:rsidRPr="00BB4CCA" w:rsidRDefault="00243680" w:rsidP="00243680"/>
        </w:tc>
        <w:tc>
          <w:tcPr>
            <w:tcW w:w="2835" w:type="dxa"/>
            <w:gridSpan w:val="2"/>
            <w:tcBorders>
              <w:bottom w:val="single" w:sz="4" w:space="0" w:color="auto"/>
            </w:tcBorders>
          </w:tcPr>
          <w:p w:rsidR="00243680" w:rsidRPr="00BB4CCA" w:rsidRDefault="00243680" w:rsidP="00243680">
            <w:r w:rsidRPr="00BB4CCA">
              <w:t>Versterking van de samenwerking</w:t>
            </w:r>
          </w:p>
        </w:tc>
        <w:tc>
          <w:tcPr>
            <w:tcW w:w="5812" w:type="dxa"/>
            <w:tcBorders>
              <w:bottom w:val="single" w:sz="4" w:space="0" w:color="auto"/>
            </w:tcBorders>
          </w:tcPr>
          <w:p w:rsidR="00243680" w:rsidRPr="00BB4CCA" w:rsidRDefault="00243680" w:rsidP="00FB727F">
            <w:pPr>
              <w:numPr>
                <w:ilvl w:val="0"/>
                <w:numId w:val="49"/>
              </w:numPr>
              <w:contextualSpacing/>
            </w:pPr>
            <w:r w:rsidRPr="00BB4CCA">
              <w:t>Een regiefunctie vervullen en platform zijn om samenwerking met partners vorm te kunnen geven</w:t>
            </w:r>
          </w:p>
          <w:p w:rsidR="00243680" w:rsidRPr="00BB4CCA" w:rsidRDefault="00243680" w:rsidP="00FB727F">
            <w:pPr>
              <w:numPr>
                <w:ilvl w:val="0"/>
                <w:numId w:val="49"/>
              </w:numPr>
              <w:contextualSpacing/>
            </w:pPr>
            <w:r w:rsidRPr="00BB4CCA">
              <w:t>Het intensiveren van de samenwerking en borgen van samenwerkingsafspraken met partners zoals politie, KMAR, Defensie en beheerders van vitale infrastructuur en buurregio’s.</w:t>
            </w:r>
          </w:p>
          <w:p w:rsidR="00243680" w:rsidRPr="00BB4CCA" w:rsidRDefault="00243680" w:rsidP="00FB727F">
            <w:pPr>
              <w:numPr>
                <w:ilvl w:val="0"/>
                <w:numId w:val="49"/>
              </w:numPr>
              <w:contextualSpacing/>
            </w:pPr>
            <w:r w:rsidRPr="00BB4CCA">
              <w:t>Samenwerkingsrelatie met het Rijk versterken.</w:t>
            </w:r>
          </w:p>
          <w:p w:rsidR="00243680" w:rsidRPr="00BB4CCA" w:rsidRDefault="00243680" w:rsidP="00FB727F">
            <w:pPr>
              <w:numPr>
                <w:ilvl w:val="0"/>
                <w:numId w:val="49"/>
              </w:numPr>
              <w:contextualSpacing/>
            </w:pPr>
            <w:r w:rsidRPr="00BB4CCA">
              <w:t xml:space="preserve">Continue aandacht voor de risicobeheersing rond Schiphol en het Noordzeekanaalgebied. </w:t>
            </w:r>
          </w:p>
        </w:tc>
        <w:tc>
          <w:tcPr>
            <w:tcW w:w="3402" w:type="dxa"/>
            <w:vMerge/>
            <w:tcBorders>
              <w:bottom w:val="single" w:sz="4" w:space="0" w:color="auto"/>
            </w:tcBorders>
          </w:tcPr>
          <w:p w:rsidR="00243680" w:rsidRPr="00BB4CCA" w:rsidRDefault="00243680" w:rsidP="00243680"/>
        </w:tc>
      </w:tr>
      <w:tr w:rsidR="00243680" w:rsidRPr="00BB4CCA" w:rsidTr="005563DF">
        <w:tc>
          <w:tcPr>
            <w:tcW w:w="2093" w:type="dxa"/>
            <w:vMerge/>
          </w:tcPr>
          <w:p w:rsidR="00243680" w:rsidRPr="00BB4CCA" w:rsidRDefault="00243680" w:rsidP="00243680"/>
        </w:tc>
        <w:tc>
          <w:tcPr>
            <w:tcW w:w="2835" w:type="dxa"/>
            <w:gridSpan w:val="2"/>
          </w:tcPr>
          <w:p w:rsidR="00243680" w:rsidRPr="00BB4CCA" w:rsidRDefault="00243680" w:rsidP="00243680">
            <w:r w:rsidRPr="00BB4CCA">
              <w:t>Bevordering van informatie-uitwisseling en innovatie op terrein van publieke veiligheid</w:t>
            </w:r>
          </w:p>
        </w:tc>
        <w:tc>
          <w:tcPr>
            <w:tcW w:w="5812" w:type="dxa"/>
          </w:tcPr>
          <w:p w:rsidR="00243680" w:rsidRPr="00BB4CCA" w:rsidRDefault="00243680" w:rsidP="00FB727F">
            <w:pPr>
              <w:numPr>
                <w:ilvl w:val="0"/>
                <w:numId w:val="50"/>
              </w:numPr>
              <w:contextualSpacing/>
            </w:pPr>
            <w:r w:rsidRPr="00BB4CCA">
              <w:t>Digitaal toegankelijk maken van actuele informatie voor crisisfunctionarissen en alle betrokken partners</w:t>
            </w:r>
          </w:p>
          <w:p w:rsidR="00243680" w:rsidRPr="00BB4CCA" w:rsidRDefault="00243680" w:rsidP="00FB727F">
            <w:pPr>
              <w:numPr>
                <w:ilvl w:val="0"/>
                <w:numId w:val="50"/>
              </w:numPr>
              <w:contextualSpacing/>
            </w:pPr>
            <w:r w:rsidRPr="00BB4CCA">
              <w:t>Delen van kennis en informatie met landelijke instituten, partners en andere regio’s.</w:t>
            </w:r>
          </w:p>
        </w:tc>
        <w:tc>
          <w:tcPr>
            <w:tcW w:w="3402" w:type="dxa"/>
          </w:tcPr>
          <w:p w:rsidR="00243680" w:rsidRPr="00BB4CCA" w:rsidRDefault="00243680" w:rsidP="00243680"/>
        </w:tc>
      </w:tr>
      <w:tr w:rsidR="00243680" w:rsidRPr="00BB4CCA" w:rsidTr="00FC7CA0">
        <w:tc>
          <w:tcPr>
            <w:tcW w:w="2093" w:type="dxa"/>
            <w:vMerge/>
          </w:tcPr>
          <w:p w:rsidR="00243680" w:rsidRPr="00BB4CCA" w:rsidRDefault="00243680" w:rsidP="00243680"/>
        </w:tc>
        <w:tc>
          <w:tcPr>
            <w:tcW w:w="2835" w:type="dxa"/>
            <w:gridSpan w:val="2"/>
          </w:tcPr>
          <w:p w:rsidR="00243680" w:rsidRPr="00BB4CCA" w:rsidRDefault="00243680" w:rsidP="00243680">
            <w:r>
              <w:t>Bevorderen interregionale samenwerking in Noord-Holland</w:t>
            </w:r>
          </w:p>
        </w:tc>
        <w:tc>
          <w:tcPr>
            <w:tcW w:w="5812" w:type="dxa"/>
          </w:tcPr>
          <w:p w:rsidR="00243680" w:rsidRPr="00BB4CCA" w:rsidRDefault="00432F85" w:rsidP="00432F85">
            <w:pPr>
              <w:numPr>
                <w:ilvl w:val="0"/>
                <w:numId w:val="50"/>
              </w:numPr>
              <w:contextualSpacing/>
            </w:pPr>
            <w:r w:rsidRPr="00D3377C">
              <w:t>Operationele start nieuwe gezamenlijke meldkamer Noord Holland in juli 2018.</w:t>
            </w:r>
          </w:p>
        </w:tc>
        <w:tc>
          <w:tcPr>
            <w:tcW w:w="3402" w:type="dxa"/>
          </w:tcPr>
          <w:p w:rsidR="00243680" w:rsidRPr="00BB4CCA" w:rsidRDefault="00243680" w:rsidP="00243680"/>
        </w:tc>
      </w:tr>
      <w:tr w:rsidR="00FC7CA0" w:rsidRPr="00BB4CCA" w:rsidTr="005563DF">
        <w:tc>
          <w:tcPr>
            <w:tcW w:w="2093" w:type="dxa"/>
            <w:tcBorders>
              <w:bottom w:val="single" w:sz="4" w:space="0" w:color="auto"/>
            </w:tcBorders>
          </w:tcPr>
          <w:p w:rsidR="00FC7CA0" w:rsidRPr="00BB4CCA" w:rsidRDefault="00FC7CA0" w:rsidP="00243680">
            <w:r>
              <w:t>Verbetering dienstverlening meldkamer</w:t>
            </w:r>
          </w:p>
        </w:tc>
        <w:tc>
          <w:tcPr>
            <w:tcW w:w="2835" w:type="dxa"/>
            <w:gridSpan w:val="2"/>
            <w:tcBorders>
              <w:bottom w:val="single" w:sz="4" w:space="0" w:color="auto"/>
            </w:tcBorders>
          </w:tcPr>
          <w:p w:rsidR="00FC7CA0" w:rsidRDefault="00FC7CA0" w:rsidP="00243680">
            <w:r>
              <w:t xml:space="preserve">Procedures van samenwerkingspartners NHN; </w:t>
            </w:r>
            <w:proofErr w:type="spellStart"/>
            <w:r>
              <w:t>ZaWa</w:t>
            </w:r>
            <w:proofErr w:type="spellEnd"/>
            <w:r>
              <w:t>; KNL en KMAR uniformeren</w:t>
            </w:r>
          </w:p>
        </w:tc>
        <w:tc>
          <w:tcPr>
            <w:tcW w:w="5812" w:type="dxa"/>
            <w:tcBorders>
              <w:bottom w:val="single" w:sz="4" w:space="0" w:color="auto"/>
            </w:tcBorders>
          </w:tcPr>
          <w:p w:rsidR="00FC7CA0" w:rsidRDefault="00FC7CA0" w:rsidP="00FB727F">
            <w:pPr>
              <w:numPr>
                <w:ilvl w:val="0"/>
                <w:numId w:val="50"/>
              </w:numPr>
              <w:contextualSpacing/>
            </w:pPr>
            <w:r>
              <w:t>Meldkamer verbouwen</w:t>
            </w:r>
          </w:p>
          <w:p w:rsidR="00FC7CA0" w:rsidRDefault="00FC7CA0" w:rsidP="00FB727F">
            <w:pPr>
              <w:numPr>
                <w:ilvl w:val="0"/>
                <w:numId w:val="50"/>
              </w:numPr>
              <w:contextualSpacing/>
            </w:pPr>
            <w:r>
              <w:t>Organisatie inrichten op nieuwe situatie</w:t>
            </w:r>
          </w:p>
          <w:p w:rsidR="00FC7CA0" w:rsidRDefault="00FC7CA0" w:rsidP="00FB727F">
            <w:pPr>
              <w:numPr>
                <w:ilvl w:val="0"/>
                <w:numId w:val="50"/>
              </w:numPr>
              <w:contextualSpacing/>
            </w:pPr>
            <w:r>
              <w:t>Procedures afstemmen en inrichten</w:t>
            </w:r>
          </w:p>
          <w:p w:rsidR="00FC7CA0" w:rsidRDefault="00FC7CA0" w:rsidP="00FB727F">
            <w:pPr>
              <w:numPr>
                <w:ilvl w:val="0"/>
                <w:numId w:val="50"/>
              </w:numPr>
              <w:contextualSpacing/>
            </w:pPr>
            <w:r>
              <w:t>ICT in meldkameromgeving aanpassen op nieuwe situatie</w:t>
            </w:r>
          </w:p>
          <w:p w:rsidR="00FC7CA0" w:rsidRDefault="007534FC" w:rsidP="00FB727F">
            <w:pPr>
              <w:numPr>
                <w:ilvl w:val="0"/>
                <w:numId w:val="50"/>
              </w:numPr>
              <w:contextualSpacing/>
            </w:pPr>
            <w:r>
              <w:t>Meldkamers NH samenbrengen op één</w:t>
            </w:r>
            <w:r w:rsidR="00FC7CA0">
              <w:t xml:space="preserve"> locatie</w:t>
            </w:r>
          </w:p>
        </w:tc>
        <w:tc>
          <w:tcPr>
            <w:tcW w:w="3402" w:type="dxa"/>
            <w:tcBorders>
              <w:bottom w:val="single" w:sz="4" w:space="0" w:color="auto"/>
            </w:tcBorders>
          </w:tcPr>
          <w:p w:rsidR="00FC7CA0" w:rsidRPr="00BB4CCA" w:rsidRDefault="00FC7CA0" w:rsidP="00243680"/>
        </w:tc>
      </w:tr>
    </w:tbl>
    <w:p w:rsidR="00995C80" w:rsidRDefault="00995C80" w:rsidP="00243680">
      <w:pPr>
        <w:spacing w:after="0" w:line="240" w:lineRule="auto"/>
        <w:sectPr w:rsidR="00995C80" w:rsidSect="00DF050E">
          <w:pgSz w:w="16838" w:h="11906" w:orient="landscape"/>
          <w:pgMar w:top="1417" w:right="1417" w:bottom="1417" w:left="1417" w:header="708" w:footer="708" w:gutter="0"/>
          <w:cols w:space="708"/>
          <w:docGrid w:linePitch="360"/>
        </w:sectPr>
      </w:pPr>
    </w:p>
    <w:p w:rsidR="00243680" w:rsidRPr="00995C80" w:rsidRDefault="00995C80" w:rsidP="00243680">
      <w:pPr>
        <w:spacing w:after="0" w:line="240" w:lineRule="auto"/>
        <w:rPr>
          <w:b/>
        </w:rPr>
      </w:pPr>
      <w:r w:rsidRPr="00995C80">
        <w:rPr>
          <w:b/>
        </w:rPr>
        <w:lastRenderedPageBreak/>
        <w:t>Wat mag het kosten?</w:t>
      </w:r>
    </w:p>
    <w:p w:rsidR="00691BED" w:rsidRDefault="00691BED" w:rsidP="00AA1990">
      <w:pPr>
        <w:rPr>
          <w:b/>
          <w:sz w:val="20"/>
          <w:szCs w:val="20"/>
        </w:rPr>
      </w:pPr>
      <w:r w:rsidRPr="00691BED">
        <w:rPr>
          <w:noProof/>
          <w:lang w:eastAsia="nl-NL"/>
        </w:rPr>
        <w:drawing>
          <wp:inline distT="0" distB="0" distL="0" distR="0" wp14:anchorId="6C59380C" wp14:editId="35C81FB1">
            <wp:extent cx="5760720" cy="5646079"/>
            <wp:effectExtent l="0" t="0" r="0" b="0"/>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0720" cy="5646079"/>
                    </a:xfrm>
                    <a:prstGeom prst="rect">
                      <a:avLst/>
                    </a:prstGeom>
                    <a:noFill/>
                    <a:ln>
                      <a:noFill/>
                    </a:ln>
                  </pic:spPr>
                </pic:pic>
              </a:graphicData>
            </a:graphic>
          </wp:inline>
        </w:drawing>
      </w:r>
    </w:p>
    <w:p w:rsidR="00D3377C" w:rsidRDefault="00691BED" w:rsidP="00AA1990">
      <w:pPr>
        <w:rPr>
          <w:b/>
          <w:sz w:val="20"/>
          <w:szCs w:val="20"/>
        </w:rPr>
      </w:pPr>
      <w:r w:rsidRPr="00691BED">
        <w:rPr>
          <w:noProof/>
          <w:lang w:eastAsia="nl-NL"/>
        </w:rPr>
        <w:drawing>
          <wp:inline distT="0" distB="0" distL="0" distR="0" wp14:anchorId="5974A28A" wp14:editId="6A8C6EC8">
            <wp:extent cx="5448300" cy="2705100"/>
            <wp:effectExtent l="0" t="0" r="0" b="0"/>
            <wp:docPr id="84" name="Afbeelding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48300" cy="2705100"/>
                    </a:xfrm>
                    <a:prstGeom prst="rect">
                      <a:avLst/>
                    </a:prstGeom>
                    <a:noFill/>
                    <a:ln>
                      <a:noFill/>
                    </a:ln>
                  </pic:spPr>
                </pic:pic>
              </a:graphicData>
            </a:graphic>
          </wp:inline>
        </w:drawing>
      </w:r>
    </w:p>
    <w:p w:rsidR="00DD539A" w:rsidRPr="00BB4CCA" w:rsidRDefault="00DD539A" w:rsidP="00DD539A">
      <w:pPr>
        <w:rPr>
          <w:b/>
        </w:rPr>
        <w:sectPr w:rsidR="00DD539A" w:rsidRPr="00BB4CCA" w:rsidSect="00995C80">
          <w:pgSz w:w="11906" w:h="16838"/>
          <w:pgMar w:top="1417" w:right="1417" w:bottom="1417" w:left="1417" w:header="708" w:footer="708" w:gutter="0"/>
          <w:cols w:space="708"/>
          <w:docGrid w:linePitch="360"/>
        </w:sectPr>
      </w:pPr>
    </w:p>
    <w:p w:rsidR="00156AB0" w:rsidRDefault="00156AB0" w:rsidP="0069463B">
      <w:pPr>
        <w:pStyle w:val="Kop2"/>
        <w:numPr>
          <w:ilvl w:val="1"/>
          <w:numId w:val="1"/>
        </w:numPr>
      </w:pPr>
      <w:bookmarkStart w:id="19" w:name="_Toc478655810"/>
      <w:bookmarkStart w:id="20" w:name="_Toc436144460"/>
      <w:r>
        <w:lastRenderedPageBreak/>
        <w:t>Bevolkingszorg</w:t>
      </w:r>
      <w:bookmarkEnd w:id="19"/>
    </w:p>
    <w:p w:rsidR="00156AB0" w:rsidRDefault="00156AB0" w:rsidP="00156AB0">
      <w:pPr>
        <w:rPr>
          <w:b/>
        </w:rPr>
      </w:pPr>
      <w:r w:rsidRPr="003542F3">
        <w:rPr>
          <w:b/>
        </w:rPr>
        <w:t xml:space="preserve">Ambitie </w:t>
      </w:r>
    </w:p>
    <w:p w:rsidR="00156AB0" w:rsidRDefault="00156AB0" w:rsidP="00156AB0">
      <w:r>
        <w:t>Bevolkingszorg wil in haar regionale rol in Kennemerland een verbindende factor zijn tussen burgers,</w:t>
      </w:r>
      <w:r w:rsidR="005615F6">
        <w:t xml:space="preserve"> </w:t>
      </w:r>
      <w:r>
        <w:t>gemeenten en hulpdiensten</w:t>
      </w:r>
      <w:r w:rsidR="005615F6">
        <w:t xml:space="preserve"> </w:t>
      </w:r>
      <w:r>
        <w:t>op het gebied van Crisiscommunicatie, acute (</w:t>
      </w:r>
      <w:proofErr w:type="spellStart"/>
      <w:r>
        <w:t>bevolkings</w:t>
      </w:r>
      <w:proofErr w:type="spellEnd"/>
      <w:r>
        <w:t>)zorg en herstelzorg.</w:t>
      </w:r>
      <w:r w:rsidR="00DB43FB">
        <w:t xml:space="preserve"> </w:t>
      </w:r>
    </w:p>
    <w:p w:rsidR="007534FC" w:rsidRDefault="007534FC" w:rsidP="00156AB0">
      <w:r>
        <w:t xml:space="preserve">Bevolkingszorg is in eerste instantie een </w:t>
      </w:r>
      <w:r w:rsidR="003C4AB3">
        <w:t xml:space="preserve">rechtstreekse </w:t>
      </w:r>
      <w:r>
        <w:t xml:space="preserve">verantwoordelijkheid van de colleges van burgemeesters en wethouders van de </w:t>
      </w:r>
      <w:r w:rsidR="00665558">
        <w:t>tien regio</w:t>
      </w:r>
      <w:r>
        <w:t xml:space="preserve">gemeenten. De VRK draagt financieel </w:t>
      </w:r>
      <w:r w:rsidR="00665558">
        <w:t xml:space="preserve">wel belangrijk bij, via een deel van de versterkingsgelden. </w:t>
      </w:r>
    </w:p>
    <w:p w:rsidR="00156AB0" w:rsidRDefault="00156AB0" w:rsidP="00156AB0">
      <w:pPr>
        <w:rPr>
          <w:b/>
        </w:rPr>
      </w:pPr>
      <w:r>
        <w:rPr>
          <w:b/>
        </w:rPr>
        <w:t>Uitgangspunten</w:t>
      </w:r>
      <w:r w:rsidRPr="003542F3">
        <w:rPr>
          <w:b/>
        </w:rPr>
        <w:t xml:space="preserve"> van beleid</w:t>
      </w:r>
    </w:p>
    <w:p w:rsidR="00AC471E" w:rsidRDefault="00AC471E" w:rsidP="00AC471E">
      <w:pPr>
        <w:spacing w:after="0"/>
      </w:pPr>
      <w:r w:rsidRPr="001400EF">
        <w:t>Gemeenten hebben als onderdeel van het openbaar bestuur een algemene zorgplicht voor hun inwoners en vervullen daarmee een essentiële rol in de crisisbeheersing. Naast de verschillende hulpverleningsdiensten zijn gemeenten vanaf het eerste moment in een crisis uitvoerend betrokken. Nadat de hulpverleningsdiensten klaar zijn met hun werkzaamheden liggen er</w:t>
      </w:r>
      <w:r>
        <w:t xml:space="preserve"> voor gemeenten vaak nog taken.</w:t>
      </w:r>
    </w:p>
    <w:p w:rsidR="00AC471E" w:rsidRDefault="00AC471E" w:rsidP="00AC471E">
      <w:pPr>
        <w:spacing w:after="0"/>
      </w:pPr>
      <w:r>
        <w:t xml:space="preserve">In Kennemerland is Bevolkingszorg georganiseerd op regionale basis, met regionale teams. De Veiligheidsregio Kennemerland streeft daarbij naar een </w:t>
      </w:r>
      <w:r w:rsidRPr="00E5261C">
        <w:rPr>
          <w:i/>
        </w:rPr>
        <w:t>eigentijdse</w:t>
      </w:r>
      <w:r>
        <w:t xml:space="preserve"> en </w:t>
      </w:r>
      <w:r w:rsidRPr="00E5261C">
        <w:rPr>
          <w:i/>
        </w:rPr>
        <w:t>realistische</w:t>
      </w:r>
      <w:r>
        <w:t xml:space="preserve"> Bevolkingszorg. </w:t>
      </w:r>
      <w:r w:rsidRPr="001222D3">
        <w:t>Dit betekent concreet dat in de Veiligheidsregio Kennemerland zelfredzaamheid als essentieel</w:t>
      </w:r>
      <w:r>
        <w:t xml:space="preserve"> onderdeel wordt gezien van Bevolkingszorg met daarbij de volgende uitgangspunten:</w:t>
      </w:r>
    </w:p>
    <w:p w:rsidR="00AC471E" w:rsidRPr="00953676" w:rsidRDefault="00AC471E" w:rsidP="00FB727F">
      <w:pPr>
        <w:pStyle w:val="Lijstalinea"/>
        <w:numPr>
          <w:ilvl w:val="0"/>
          <w:numId w:val="61"/>
        </w:numPr>
        <w:spacing w:after="0"/>
      </w:pPr>
      <w:r w:rsidRPr="00953676">
        <w:t>Meer uitgaan van (zelf)redzaamheid en improvisatie, minder voorbereiden</w:t>
      </w:r>
    </w:p>
    <w:p w:rsidR="00AC471E" w:rsidRPr="00953676" w:rsidRDefault="00AC471E" w:rsidP="00FB727F">
      <w:pPr>
        <w:pStyle w:val="Lijstalinea"/>
        <w:numPr>
          <w:ilvl w:val="0"/>
          <w:numId w:val="61"/>
        </w:numPr>
        <w:spacing w:after="0"/>
      </w:pPr>
      <w:r w:rsidRPr="00953676">
        <w:t>De (behoefte) van de burger staat centraal</w:t>
      </w:r>
    </w:p>
    <w:p w:rsidR="00AC471E" w:rsidRPr="00953676" w:rsidRDefault="00AC471E" w:rsidP="00FB727F">
      <w:pPr>
        <w:pStyle w:val="Lijstalinea"/>
        <w:numPr>
          <w:ilvl w:val="0"/>
          <w:numId w:val="61"/>
        </w:numPr>
        <w:spacing w:after="0"/>
      </w:pPr>
      <w:r w:rsidRPr="00953676">
        <w:t>Ter plaatse zicht krijgen op en direct leveren wat er nodig is</w:t>
      </w:r>
    </w:p>
    <w:p w:rsidR="00AC471E" w:rsidRPr="00953676" w:rsidRDefault="00AC471E" w:rsidP="00FB727F">
      <w:pPr>
        <w:pStyle w:val="Lijstalinea"/>
        <w:numPr>
          <w:ilvl w:val="0"/>
          <w:numId w:val="61"/>
        </w:numPr>
        <w:spacing w:after="0"/>
      </w:pPr>
      <w:r w:rsidRPr="00953676">
        <w:t>Als gemeente aansluiten bij de dagelijkse praktijk</w:t>
      </w:r>
      <w:r>
        <w:t>.</w:t>
      </w:r>
    </w:p>
    <w:p w:rsidR="00AC471E" w:rsidRDefault="00AC471E" w:rsidP="00AC471E">
      <w:pPr>
        <w:spacing w:after="0"/>
      </w:pPr>
      <w:r>
        <w:t>Deze werkwijze is vastgelegd in het Deelplan Bevolkingszorg Kennemerland.</w:t>
      </w:r>
    </w:p>
    <w:p w:rsidR="00AC471E" w:rsidRDefault="00AC471E" w:rsidP="00AC471E">
      <w:pPr>
        <w:spacing w:after="0"/>
      </w:pPr>
      <w:r>
        <w:t>Tot slot ligt de focus op het bureau Bevolkingszorg</w:t>
      </w:r>
      <w:r w:rsidRPr="00F1389D">
        <w:t xml:space="preserve"> </w:t>
      </w:r>
      <w:r>
        <w:t xml:space="preserve">dat </w:t>
      </w:r>
      <w:r w:rsidRPr="00F1389D">
        <w:t xml:space="preserve">in 2012 </w:t>
      </w:r>
      <w:r>
        <w:t xml:space="preserve">is </w:t>
      </w:r>
      <w:r w:rsidRPr="00F1389D">
        <w:t xml:space="preserve">opgericht en sindsdien </w:t>
      </w:r>
      <w:r>
        <w:t xml:space="preserve">is </w:t>
      </w:r>
      <w:r w:rsidRPr="00F1389D">
        <w:t xml:space="preserve">gegroeid. In 2014 heeft het bureau een professionaliseringslag gemaakt. </w:t>
      </w:r>
      <w:r>
        <w:t xml:space="preserve">De komende jaren staan in het teken van </w:t>
      </w:r>
      <w:r w:rsidRPr="00F1389D">
        <w:t>een volgende fase van organisatieontwikkeling, waarbij de verbinding en zichtbaarheid naar de (keten)partners en gemeenten is gewaarborgd.</w:t>
      </w:r>
      <w:r w:rsidR="005615F6">
        <w:t xml:space="preserve"> </w:t>
      </w:r>
    </w:p>
    <w:p w:rsidR="00AC471E" w:rsidRDefault="00AC471E" w:rsidP="00AC471E">
      <w:pPr>
        <w:spacing w:after="0"/>
      </w:pPr>
    </w:p>
    <w:p w:rsidR="00DE4385" w:rsidRPr="00DE4385" w:rsidRDefault="00DE4385" w:rsidP="00DE4385">
      <w:r w:rsidRPr="00DE4385">
        <w:rPr>
          <w:b/>
        </w:rPr>
        <w:t>Relevante Beleidsnotities en wettelijk kader</w:t>
      </w:r>
    </w:p>
    <w:p w:rsidR="00AC471E" w:rsidRDefault="00AC471E" w:rsidP="00FB727F">
      <w:pPr>
        <w:pStyle w:val="Lijstalinea"/>
        <w:numPr>
          <w:ilvl w:val="0"/>
          <w:numId w:val="60"/>
        </w:numPr>
        <w:spacing w:after="0"/>
      </w:pPr>
      <w:r>
        <w:t>Besluit benoeming coördinerend gemeentesecretaris (AB 15 februari 2016)</w:t>
      </w:r>
      <w:r w:rsidRPr="001400EF">
        <w:t xml:space="preserve"> </w:t>
      </w:r>
    </w:p>
    <w:p w:rsidR="00AC471E" w:rsidRDefault="00AC471E" w:rsidP="00FB727F">
      <w:pPr>
        <w:pStyle w:val="Lijstalinea"/>
        <w:numPr>
          <w:ilvl w:val="0"/>
          <w:numId w:val="60"/>
        </w:numPr>
        <w:spacing w:after="0"/>
      </w:pPr>
      <w:r>
        <w:t>R</w:t>
      </w:r>
      <w:r w:rsidRPr="001400EF">
        <w:t>apport 'Bevolkingszorg op orde 2.0 – eigentijdse bevolkingszorg, volgens afspraak'</w:t>
      </w:r>
      <w:r>
        <w:t xml:space="preserve"> (veiligheidsberaad, mei 2014)</w:t>
      </w:r>
    </w:p>
    <w:p w:rsidR="00AC471E" w:rsidRDefault="00AC471E" w:rsidP="00FB727F">
      <w:pPr>
        <w:pStyle w:val="Lijstalinea"/>
        <w:numPr>
          <w:ilvl w:val="0"/>
          <w:numId w:val="60"/>
        </w:numPr>
        <w:spacing w:after="0"/>
      </w:pPr>
      <w:r>
        <w:t>Artikel 2.3.1. Besluit veiligheidsregio’s</w:t>
      </w:r>
    </w:p>
    <w:p w:rsidR="00AC471E" w:rsidRDefault="00AC471E" w:rsidP="00FB727F">
      <w:pPr>
        <w:pStyle w:val="Lijstalinea"/>
        <w:numPr>
          <w:ilvl w:val="0"/>
          <w:numId w:val="60"/>
        </w:numPr>
        <w:spacing w:after="0"/>
      </w:pPr>
      <w:r>
        <w:t>Deelplan Bevolkingszorg Kennemerland (30 juni 2014)</w:t>
      </w:r>
    </w:p>
    <w:p w:rsidR="00AC471E" w:rsidRPr="001400EF" w:rsidRDefault="00AC471E" w:rsidP="00AC471E">
      <w:pPr>
        <w:pStyle w:val="Lijstalinea"/>
        <w:spacing w:after="0"/>
        <w:ind w:left="360"/>
      </w:pPr>
    </w:p>
    <w:p w:rsidR="00AC471E" w:rsidRDefault="00AC471E" w:rsidP="00AC471E">
      <w:pPr>
        <w:rPr>
          <w:b/>
        </w:rPr>
      </w:pPr>
      <w:r w:rsidRPr="003542F3">
        <w:rPr>
          <w:b/>
        </w:rPr>
        <w:t>Risico’s</w:t>
      </w:r>
    </w:p>
    <w:tbl>
      <w:tblPr>
        <w:tblStyle w:val="Tabelraster"/>
        <w:tblW w:w="0" w:type="auto"/>
        <w:tblLook w:val="04A0" w:firstRow="1" w:lastRow="0" w:firstColumn="1" w:lastColumn="0" w:noHBand="0" w:noVBand="1"/>
      </w:tblPr>
      <w:tblGrid>
        <w:gridCol w:w="4519"/>
        <w:gridCol w:w="4520"/>
      </w:tblGrid>
      <w:tr w:rsidR="00AC471E" w:rsidRPr="00F1389D" w:rsidTr="00AC471E">
        <w:tc>
          <w:tcPr>
            <w:tcW w:w="4519" w:type="dxa"/>
            <w:shd w:val="clear" w:color="auto" w:fill="C6D9F1" w:themeFill="text2" w:themeFillTint="33"/>
          </w:tcPr>
          <w:p w:rsidR="00AC471E" w:rsidRPr="00F1389D" w:rsidRDefault="00AC471E" w:rsidP="00AC471E">
            <w:r w:rsidRPr="00F1389D">
              <w:t>Risico</w:t>
            </w:r>
          </w:p>
        </w:tc>
        <w:tc>
          <w:tcPr>
            <w:tcW w:w="4520" w:type="dxa"/>
            <w:shd w:val="clear" w:color="auto" w:fill="C6D9F1" w:themeFill="text2" w:themeFillTint="33"/>
          </w:tcPr>
          <w:p w:rsidR="00AC471E" w:rsidRPr="00F1389D" w:rsidRDefault="00AC471E" w:rsidP="00AC471E">
            <w:r w:rsidRPr="00F1389D">
              <w:t>Beheersmaatregel</w:t>
            </w:r>
          </w:p>
        </w:tc>
      </w:tr>
      <w:tr w:rsidR="00AC471E" w:rsidRPr="00F1389D" w:rsidTr="00AC471E">
        <w:tc>
          <w:tcPr>
            <w:tcW w:w="4519" w:type="dxa"/>
          </w:tcPr>
          <w:p w:rsidR="00AC471E" w:rsidRPr="00F1389D" w:rsidRDefault="00AC471E" w:rsidP="00AC471E">
            <w:r>
              <w:t>Sterke mate van afhankelijkheid inzet &amp; betrokkenheid gemeenten</w:t>
            </w:r>
          </w:p>
        </w:tc>
        <w:tc>
          <w:tcPr>
            <w:tcW w:w="4520" w:type="dxa"/>
          </w:tcPr>
          <w:p w:rsidR="00AC471E" w:rsidRPr="00F1389D" w:rsidRDefault="00AC471E" w:rsidP="00AC471E">
            <w:r>
              <w:t>Heldere afspraken maken met gemeenten en het continu leggen van verbinding(en)</w:t>
            </w:r>
          </w:p>
        </w:tc>
      </w:tr>
      <w:tr w:rsidR="00AC471E" w:rsidRPr="00F1389D" w:rsidTr="00AC471E">
        <w:tc>
          <w:tcPr>
            <w:tcW w:w="4519" w:type="dxa"/>
          </w:tcPr>
          <w:p w:rsidR="00AC471E" w:rsidRPr="00F1389D" w:rsidRDefault="00AC471E" w:rsidP="00AC471E">
            <w:r>
              <w:t>Verdere professionalisering van Bevolkingszorg creëert extra ambtelijke en bestuurlijke drukte</w:t>
            </w:r>
          </w:p>
        </w:tc>
        <w:tc>
          <w:tcPr>
            <w:tcW w:w="4520" w:type="dxa"/>
          </w:tcPr>
          <w:p w:rsidR="00AC471E" w:rsidRPr="00F1389D" w:rsidRDefault="00AC471E" w:rsidP="00AC471E">
            <w:r>
              <w:t>Prestaties/ontwikkelingen stapsgewijs doorvoeren. Temporiseren waar nodig.</w:t>
            </w:r>
          </w:p>
        </w:tc>
      </w:tr>
    </w:tbl>
    <w:p w:rsidR="00156AB0" w:rsidRPr="003542F3" w:rsidRDefault="00156AB0" w:rsidP="00156AB0">
      <w:pPr>
        <w:rPr>
          <w:b/>
        </w:rPr>
      </w:pPr>
      <w:r w:rsidRPr="003542F3">
        <w:rPr>
          <w:b/>
        </w:rPr>
        <w:lastRenderedPageBreak/>
        <w:t>Doelenboom</w:t>
      </w:r>
    </w:p>
    <w:tbl>
      <w:tblPr>
        <w:tblStyle w:val="Tabelraster7"/>
        <w:tblW w:w="0" w:type="auto"/>
        <w:tblLook w:val="04A0" w:firstRow="1" w:lastRow="0" w:firstColumn="1" w:lastColumn="0" w:noHBand="0" w:noVBand="1"/>
      </w:tblPr>
      <w:tblGrid>
        <w:gridCol w:w="1624"/>
        <w:gridCol w:w="2065"/>
        <w:gridCol w:w="3677"/>
        <w:gridCol w:w="1922"/>
      </w:tblGrid>
      <w:tr w:rsidR="00156AB0" w:rsidRPr="00C609A2" w:rsidTr="005563DF">
        <w:tc>
          <w:tcPr>
            <w:tcW w:w="4874" w:type="dxa"/>
            <w:gridSpan w:val="2"/>
          </w:tcPr>
          <w:p w:rsidR="00156AB0" w:rsidRPr="00C609A2" w:rsidRDefault="00156AB0" w:rsidP="005563DF">
            <w:pPr>
              <w:rPr>
                <w:i/>
              </w:rPr>
            </w:pPr>
            <w:r w:rsidRPr="00C609A2">
              <w:rPr>
                <w:i/>
              </w:rPr>
              <w:t>Wat willen we bereiken</w:t>
            </w:r>
          </w:p>
        </w:tc>
        <w:tc>
          <w:tcPr>
            <w:tcW w:w="5851" w:type="dxa"/>
          </w:tcPr>
          <w:p w:rsidR="00156AB0" w:rsidRPr="00C609A2" w:rsidRDefault="00156AB0" w:rsidP="005563DF">
            <w:pPr>
              <w:rPr>
                <w:i/>
              </w:rPr>
            </w:pPr>
            <w:r w:rsidRPr="00C609A2">
              <w:rPr>
                <w:i/>
              </w:rPr>
              <w:t>Wat gaan we er voor doen</w:t>
            </w:r>
          </w:p>
        </w:tc>
        <w:tc>
          <w:tcPr>
            <w:tcW w:w="3495" w:type="dxa"/>
            <w:vMerge w:val="restart"/>
          </w:tcPr>
          <w:p w:rsidR="00156AB0" w:rsidRPr="00C609A2" w:rsidRDefault="00156AB0" w:rsidP="005563DF">
            <w:pPr>
              <w:rPr>
                <w:i/>
              </w:rPr>
            </w:pPr>
            <w:r w:rsidRPr="00C609A2">
              <w:rPr>
                <w:i/>
              </w:rPr>
              <w:t>Wat is het beoogd maatschappelijk effect</w:t>
            </w:r>
          </w:p>
        </w:tc>
      </w:tr>
      <w:tr w:rsidR="00156AB0" w:rsidRPr="00C609A2" w:rsidTr="005563DF">
        <w:tc>
          <w:tcPr>
            <w:tcW w:w="2106" w:type="dxa"/>
          </w:tcPr>
          <w:p w:rsidR="00156AB0" w:rsidRPr="00C609A2" w:rsidRDefault="00156AB0" w:rsidP="005563DF">
            <w:r w:rsidRPr="00C609A2">
              <w:t>Strategisch doel</w:t>
            </w:r>
          </w:p>
        </w:tc>
        <w:tc>
          <w:tcPr>
            <w:tcW w:w="2768" w:type="dxa"/>
          </w:tcPr>
          <w:p w:rsidR="00156AB0" w:rsidRPr="00C609A2" w:rsidRDefault="00156AB0" w:rsidP="005563DF">
            <w:r w:rsidRPr="00C609A2">
              <w:t>Operationeel doel</w:t>
            </w:r>
          </w:p>
        </w:tc>
        <w:tc>
          <w:tcPr>
            <w:tcW w:w="5851" w:type="dxa"/>
          </w:tcPr>
          <w:p w:rsidR="00156AB0" w:rsidRPr="00C609A2" w:rsidRDefault="00156AB0" w:rsidP="005563DF">
            <w:r w:rsidRPr="00C609A2">
              <w:t>Prestatie 2017-2020</w:t>
            </w:r>
          </w:p>
        </w:tc>
        <w:tc>
          <w:tcPr>
            <w:tcW w:w="3495" w:type="dxa"/>
            <w:vMerge/>
          </w:tcPr>
          <w:p w:rsidR="00156AB0" w:rsidRPr="00C609A2" w:rsidRDefault="00156AB0" w:rsidP="005563DF"/>
        </w:tc>
      </w:tr>
      <w:tr w:rsidR="00156AB0" w:rsidRPr="00C609A2" w:rsidTr="005563DF">
        <w:tc>
          <w:tcPr>
            <w:tcW w:w="14220" w:type="dxa"/>
            <w:gridSpan w:val="4"/>
            <w:shd w:val="clear" w:color="auto" w:fill="C6D9F1" w:themeFill="text2" w:themeFillTint="33"/>
          </w:tcPr>
          <w:p w:rsidR="00156AB0" w:rsidRPr="00C609A2" w:rsidRDefault="00156AB0" w:rsidP="005563DF"/>
        </w:tc>
      </w:tr>
      <w:tr w:rsidR="00156AB0" w:rsidRPr="00C609A2" w:rsidTr="005563DF">
        <w:tc>
          <w:tcPr>
            <w:tcW w:w="2106" w:type="dxa"/>
            <w:vMerge w:val="restart"/>
          </w:tcPr>
          <w:p w:rsidR="00156AB0" w:rsidRPr="00C609A2" w:rsidRDefault="00156AB0" w:rsidP="005563DF">
            <w:r w:rsidRPr="00C609A2">
              <w:t>Borgen kwaliteit en continuïteit Bevolkingszorg</w:t>
            </w:r>
          </w:p>
        </w:tc>
        <w:tc>
          <w:tcPr>
            <w:tcW w:w="2768" w:type="dxa"/>
          </w:tcPr>
          <w:p w:rsidR="00156AB0" w:rsidRPr="00C609A2" w:rsidRDefault="00156AB0" w:rsidP="005563DF">
            <w:r w:rsidRPr="00C609A2">
              <w:t>Professionalisering, zichtbaarheid en positionering van Bevolkingszorg vergroten</w:t>
            </w:r>
          </w:p>
        </w:tc>
        <w:tc>
          <w:tcPr>
            <w:tcW w:w="5851" w:type="dxa"/>
          </w:tcPr>
          <w:p w:rsidR="00156AB0" w:rsidRPr="00C609A2" w:rsidRDefault="00156AB0" w:rsidP="00FB727F">
            <w:pPr>
              <w:numPr>
                <w:ilvl w:val="0"/>
                <w:numId w:val="54"/>
              </w:numPr>
            </w:pPr>
            <w:r w:rsidRPr="00C609A2">
              <w:t>Algehele bekendheid met Bevolkingszorg en crisiscommunicatie verbeteren</w:t>
            </w:r>
          </w:p>
          <w:p w:rsidR="00156AB0" w:rsidRPr="00C609A2" w:rsidRDefault="00156AB0" w:rsidP="00FB727F">
            <w:pPr>
              <w:numPr>
                <w:ilvl w:val="0"/>
                <w:numId w:val="54"/>
              </w:numPr>
            </w:pPr>
            <w:r w:rsidRPr="00C609A2">
              <w:t>Zorgdragen voor permanente doorontwikkeling van het bureau Bevolkingszorg</w:t>
            </w:r>
          </w:p>
        </w:tc>
        <w:tc>
          <w:tcPr>
            <w:tcW w:w="3495" w:type="dxa"/>
            <w:vMerge w:val="restart"/>
          </w:tcPr>
          <w:p w:rsidR="00156AB0" w:rsidRPr="00C609A2" w:rsidRDefault="00156AB0" w:rsidP="005563DF">
            <w:r w:rsidRPr="00C609A2">
              <w:t>Een op de samenleving aangesloten Bevolkingszorg</w:t>
            </w:r>
          </w:p>
        </w:tc>
      </w:tr>
      <w:tr w:rsidR="00156AB0" w:rsidRPr="00C609A2" w:rsidTr="005563DF">
        <w:tc>
          <w:tcPr>
            <w:tcW w:w="2106" w:type="dxa"/>
            <w:vMerge/>
          </w:tcPr>
          <w:p w:rsidR="00156AB0" w:rsidRPr="00C609A2" w:rsidRDefault="00156AB0" w:rsidP="005563DF"/>
        </w:tc>
        <w:tc>
          <w:tcPr>
            <w:tcW w:w="2768" w:type="dxa"/>
          </w:tcPr>
          <w:p w:rsidR="00156AB0" w:rsidRPr="00C609A2" w:rsidRDefault="00156AB0" w:rsidP="005563DF">
            <w:r w:rsidRPr="00C609A2">
              <w:t>Verstevigen vakbekwaamheid functionarissen Bevolkingszorg</w:t>
            </w:r>
          </w:p>
        </w:tc>
        <w:tc>
          <w:tcPr>
            <w:tcW w:w="5851" w:type="dxa"/>
          </w:tcPr>
          <w:p w:rsidR="00156AB0" w:rsidRPr="00C609A2" w:rsidRDefault="00156AB0" w:rsidP="00FB727F">
            <w:pPr>
              <w:numPr>
                <w:ilvl w:val="0"/>
                <w:numId w:val="55"/>
              </w:numPr>
            </w:pPr>
            <w:r w:rsidRPr="00C609A2">
              <w:t>Gemeenteambtenaren bewust maken van neventaken in de crisisfunctie</w:t>
            </w:r>
          </w:p>
          <w:p w:rsidR="00156AB0" w:rsidRPr="00C609A2" w:rsidRDefault="00156AB0" w:rsidP="00FB727F">
            <w:pPr>
              <w:numPr>
                <w:ilvl w:val="0"/>
                <w:numId w:val="55"/>
              </w:numPr>
            </w:pPr>
            <w:r w:rsidRPr="00C609A2">
              <w:t>Toewerken naar een lerende organisatie</w:t>
            </w:r>
          </w:p>
          <w:p w:rsidR="00156AB0" w:rsidRPr="00C609A2" w:rsidRDefault="00156AB0" w:rsidP="00FB727F">
            <w:pPr>
              <w:numPr>
                <w:ilvl w:val="0"/>
                <w:numId w:val="55"/>
              </w:numPr>
            </w:pPr>
            <w:r w:rsidRPr="00C609A2">
              <w:t>‘Aangesloten Bevolkingszorg’ verder in de praktijk brengen</w:t>
            </w:r>
          </w:p>
        </w:tc>
        <w:tc>
          <w:tcPr>
            <w:tcW w:w="3495" w:type="dxa"/>
            <w:vMerge/>
          </w:tcPr>
          <w:p w:rsidR="00156AB0" w:rsidRPr="00C609A2" w:rsidRDefault="00156AB0" w:rsidP="005563DF"/>
        </w:tc>
      </w:tr>
    </w:tbl>
    <w:p w:rsidR="00156AB0" w:rsidRDefault="00156AB0" w:rsidP="00156AB0">
      <w:pPr>
        <w:rPr>
          <w:b/>
        </w:rPr>
      </w:pPr>
    </w:p>
    <w:p w:rsidR="00156AB0" w:rsidRPr="003542F3" w:rsidRDefault="00156AB0" w:rsidP="00156AB0">
      <w:pPr>
        <w:rPr>
          <w:b/>
        </w:rPr>
      </w:pPr>
      <w:r w:rsidRPr="003542F3">
        <w:rPr>
          <w:b/>
        </w:rPr>
        <w:t>Wat mag het kosten?</w:t>
      </w:r>
    </w:p>
    <w:p w:rsidR="00156AB0" w:rsidRDefault="00691BED" w:rsidP="00156AB0">
      <w:r w:rsidRPr="00691BED">
        <w:rPr>
          <w:noProof/>
          <w:lang w:eastAsia="nl-NL"/>
        </w:rPr>
        <w:drawing>
          <wp:inline distT="0" distB="0" distL="0" distR="0" wp14:anchorId="2882E904" wp14:editId="413209AE">
            <wp:extent cx="5760720" cy="3209953"/>
            <wp:effectExtent l="0" t="0" r="0" b="9525"/>
            <wp:docPr id="85" name="Afbeelding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0720" cy="3209953"/>
                    </a:xfrm>
                    <a:prstGeom prst="rect">
                      <a:avLst/>
                    </a:prstGeom>
                    <a:noFill/>
                    <a:ln>
                      <a:noFill/>
                    </a:ln>
                  </pic:spPr>
                </pic:pic>
              </a:graphicData>
            </a:graphic>
          </wp:inline>
        </w:drawing>
      </w:r>
    </w:p>
    <w:p w:rsidR="00D3377C" w:rsidRDefault="00D3377C" w:rsidP="00156AB0">
      <w:r w:rsidRPr="00D3377C">
        <w:rPr>
          <w:noProof/>
          <w:lang w:eastAsia="nl-NL"/>
        </w:rPr>
        <w:drawing>
          <wp:inline distT="0" distB="0" distL="0" distR="0" wp14:anchorId="37AA4023" wp14:editId="196B5615">
            <wp:extent cx="5448300" cy="962025"/>
            <wp:effectExtent l="0" t="0" r="0" b="952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8300" cy="962025"/>
                    </a:xfrm>
                    <a:prstGeom prst="rect">
                      <a:avLst/>
                    </a:prstGeom>
                    <a:noFill/>
                    <a:ln>
                      <a:noFill/>
                    </a:ln>
                  </pic:spPr>
                </pic:pic>
              </a:graphicData>
            </a:graphic>
          </wp:inline>
        </w:drawing>
      </w:r>
    </w:p>
    <w:p w:rsidR="00156AB0" w:rsidRDefault="00156AB0" w:rsidP="00156AB0"/>
    <w:p w:rsidR="00AC16D7" w:rsidRDefault="00282673" w:rsidP="0069463B">
      <w:pPr>
        <w:pStyle w:val="Kop2"/>
        <w:numPr>
          <w:ilvl w:val="1"/>
          <w:numId w:val="1"/>
        </w:numPr>
      </w:pPr>
      <w:bookmarkStart w:id="21" w:name="_Toc478655811"/>
      <w:r>
        <w:lastRenderedPageBreak/>
        <w:t>Programma Veiligheidshuis</w:t>
      </w:r>
      <w:bookmarkEnd w:id="20"/>
      <w:bookmarkEnd w:id="21"/>
    </w:p>
    <w:p w:rsidR="005C6AE7" w:rsidRDefault="005C6AE7" w:rsidP="005C6AE7">
      <w:pPr>
        <w:pStyle w:val="Geenafstand"/>
      </w:pPr>
    </w:p>
    <w:p w:rsidR="00DD539A" w:rsidRDefault="00DD539A" w:rsidP="00DD539A">
      <w:pPr>
        <w:rPr>
          <w:b/>
        </w:rPr>
      </w:pPr>
      <w:r w:rsidRPr="003542F3">
        <w:rPr>
          <w:b/>
        </w:rPr>
        <w:t>Ambitie van het programma</w:t>
      </w:r>
    </w:p>
    <w:p w:rsidR="00347A23" w:rsidRPr="00347A23" w:rsidRDefault="00347A23" w:rsidP="00347A23">
      <w:r w:rsidRPr="00347A23">
        <w:t>Het Veiligheidshuis Kennemerland levert een bijdrage aan de veiligheid(</w:t>
      </w:r>
      <w:proofErr w:type="spellStart"/>
      <w:r w:rsidRPr="00347A23">
        <w:t>sbeleving</w:t>
      </w:r>
      <w:proofErr w:type="spellEnd"/>
      <w:r w:rsidRPr="00347A23">
        <w:t xml:space="preserve">) in de regio als onderdeel van het integrale </w:t>
      </w:r>
      <w:r w:rsidR="003C4AB3">
        <w:t>veiligheidsbeleid van gemeenten. Het</w:t>
      </w:r>
      <w:r w:rsidRPr="00347A23">
        <w:t xml:space="preserve"> richt zich op het voorkomen en verminderen van recidive, (ernstige) overlast, criminaliteit en maatschappelijke uitval bij complexe problemen</w:t>
      </w:r>
      <w:r w:rsidR="003C4AB3">
        <w:t>,</w:t>
      </w:r>
      <w:r w:rsidRPr="00347A23">
        <w:t xml:space="preserve"> door een combinatie van justitiële interventies, zorginterventies en</w:t>
      </w:r>
      <w:r w:rsidR="005615F6">
        <w:t xml:space="preserve"> </w:t>
      </w:r>
      <w:r w:rsidRPr="00347A23">
        <w:t>bestuurlijke interventies.</w:t>
      </w:r>
    </w:p>
    <w:p w:rsidR="00347A23" w:rsidRPr="00347A23" w:rsidRDefault="00347A23" w:rsidP="00347A23">
      <w:pPr>
        <w:rPr>
          <w:b/>
          <w:color w:val="984806" w:themeColor="accent6" w:themeShade="80"/>
        </w:rPr>
      </w:pPr>
      <w:r w:rsidRPr="00347A23">
        <w:rPr>
          <w:b/>
        </w:rPr>
        <w:t>Uitgangspunten van beleid</w:t>
      </w:r>
      <w:r w:rsidR="005615F6">
        <w:rPr>
          <w:b/>
        </w:rPr>
        <w:t xml:space="preserve"> </w:t>
      </w:r>
    </w:p>
    <w:p w:rsidR="00347A23" w:rsidRPr="00347A23" w:rsidRDefault="00347A23" w:rsidP="00347A23">
      <w:r w:rsidRPr="00347A23">
        <w:t>In het Veiligheidshuis werken gemeenten, organisaties uit het justitiële domein en organisaties uit het zorgdomein samen om te komen tot een integrale aanpak van (potentieel) criminele of ernstige overlast veroorzakende personen, waarachter een complexe problematiek schuilgaat. Hiermee wordt voorkomen dat organisaties ieder slechts een gedeelte van de problematiek aanpakken en/of langs elkaar heen werken. Het concrete product</w:t>
      </w:r>
      <w:r w:rsidRPr="00347A23">
        <w:rPr>
          <w:color w:val="984806" w:themeColor="accent6" w:themeShade="80"/>
        </w:rPr>
        <w:t xml:space="preserve"> </w:t>
      </w:r>
      <w:r w:rsidRPr="00347A23">
        <w:t>van de samenwerking is een gezamenlijk plan</w:t>
      </w:r>
      <w:r w:rsidR="005615F6">
        <w:t xml:space="preserve"> </w:t>
      </w:r>
      <w:r w:rsidRPr="00347A23">
        <w:t>waarin de inzet van organisaties is afgestemd, met concrete afspraken over de verschillende interventies (gericht op de aanpak van problemen op verschillende leefgebieden), de casusregie</w:t>
      </w:r>
      <w:r w:rsidR="005615F6">
        <w:t xml:space="preserve"> </w:t>
      </w:r>
      <w:r w:rsidRPr="00347A23">
        <w:t>en eventuele vervolgstappen en monitoring.</w:t>
      </w:r>
    </w:p>
    <w:p w:rsidR="00347A23" w:rsidRPr="00347A23" w:rsidRDefault="00347A23" w:rsidP="003C4AB3">
      <w:pPr>
        <w:spacing w:after="0"/>
      </w:pPr>
      <w:r w:rsidRPr="00347A23">
        <w:t>Naast de individuele casussen die worden aangemeld door één van de partners worden ook</w:t>
      </w:r>
      <w:r w:rsidR="005615F6">
        <w:t xml:space="preserve"> </w:t>
      </w:r>
      <w:r w:rsidRPr="00347A23">
        <w:t xml:space="preserve">lokale en regionale thema’s proactief opgepakt. </w:t>
      </w:r>
      <w:r w:rsidR="003C4AB3">
        <w:t xml:space="preserve"> </w:t>
      </w:r>
      <w:r w:rsidRPr="00347A23">
        <w:t>Doelgroepen en thema’s die in 2018 pro actief worden aangepakt, zijn:</w:t>
      </w:r>
    </w:p>
    <w:p w:rsidR="00347A23" w:rsidRPr="00347A23" w:rsidRDefault="003C4AB3" w:rsidP="003C4AB3">
      <w:pPr>
        <w:numPr>
          <w:ilvl w:val="0"/>
          <w:numId w:val="25"/>
        </w:numPr>
        <w:spacing w:after="0"/>
        <w:contextualSpacing/>
      </w:pPr>
      <w:r>
        <w:t xml:space="preserve">Jeugdige </w:t>
      </w:r>
      <w:proofErr w:type="spellStart"/>
      <w:r>
        <w:t>veelplegers</w:t>
      </w:r>
      <w:proofErr w:type="spellEnd"/>
      <w:r>
        <w:t xml:space="preserve"> en jong</w:t>
      </w:r>
      <w:r w:rsidR="00347A23" w:rsidRPr="00347A23">
        <w:t xml:space="preserve">volwassen </w:t>
      </w:r>
      <w:proofErr w:type="spellStart"/>
      <w:r w:rsidR="00347A23" w:rsidRPr="00347A23">
        <w:t>meerplegers</w:t>
      </w:r>
      <w:proofErr w:type="spellEnd"/>
      <w:r w:rsidR="00347A23" w:rsidRPr="00347A23">
        <w:rPr>
          <w:vertAlign w:val="superscript"/>
        </w:rPr>
        <w:footnoteReference w:id="2"/>
      </w:r>
    </w:p>
    <w:p w:rsidR="00347A23" w:rsidRPr="00347A23" w:rsidRDefault="00347A23" w:rsidP="003C4AB3">
      <w:pPr>
        <w:numPr>
          <w:ilvl w:val="0"/>
          <w:numId w:val="25"/>
        </w:numPr>
        <w:spacing w:after="0"/>
        <w:contextualSpacing/>
      </w:pPr>
      <w:r w:rsidRPr="00347A23">
        <w:t>Leden van criminele jeugdgroepen</w:t>
      </w:r>
    </w:p>
    <w:p w:rsidR="00347A23" w:rsidRPr="00347A23" w:rsidRDefault="00347A23" w:rsidP="003C4AB3">
      <w:pPr>
        <w:numPr>
          <w:ilvl w:val="0"/>
          <w:numId w:val="25"/>
        </w:numPr>
        <w:spacing w:after="0"/>
        <w:contextualSpacing/>
      </w:pPr>
      <w:r w:rsidRPr="00347A23">
        <w:t>High Impact Crime</w:t>
      </w:r>
    </w:p>
    <w:p w:rsidR="00347A23" w:rsidRPr="00347A23" w:rsidRDefault="00347A23" w:rsidP="003C4AB3">
      <w:pPr>
        <w:numPr>
          <w:ilvl w:val="0"/>
          <w:numId w:val="25"/>
        </w:numPr>
        <w:spacing w:after="0"/>
        <w:contextualSpacing/>
      </w:pPr>
      <w:r w:rsidRPr="00347A23">
        <w:t>Radicalisering en Extremisme (</w:t>
      </w:r>
      <w:proofErr w:type="spellStart"/>
      <w:r w:rsidRPr="00347A23">
        <w:t>Cter</w:t>
      </w:r>
      <w:proofErr w:type="spellEnd"/>
      <w:r w:rsidRPr="00347A23">
        <w:t>)</w:t>
      </w:r>
    </w:p>
    <w:p w:rsidR="00347A23" w:rsidRPr="00347A23" w:rsidRDefault="00347A23" w:rsidP="003C4AB3">
      <w:pPr>
        <w:numPr>
          <w:ilvl w:val="0"/>
          <w:numId w:val="25"/>
        </w:numPr>
        <w:spacing w:after="0"/>
        <w:contextualSpacing/>
      </w:pPr>
      <w:r w:rsidRPr="00347A23">
        <w:t>Nazorg ex-gedetineerden</w:t>
      </w:r>
    </w:p>
    <w:p w:rsidR="003C4AB3" w:rsidRDefault="003C4AB3" w:rsidP="00347A23">
      <w:pPr>
        <w:rPr>
          <w:b/>
        </w:rPr>
      </w:pPr>
    </w:p>
    <w:p w:rsidR="00347A23" w:rsidRPr="00347A23" w:rsidRDefault="00347A23" w:rsidP="00347A23">
      <w:pPr>
        <w:rPr>
          <w:b/>
        </w:rPr>
      </w:pPr>
      <w:r w:rsidRPr="00347A23">
        <w:rPr>
          <w:b/>
        </w:rPr>
        <w:t>Relevante Beleidsnotities en wettelijk kader</w:t>
      </w:r>
    </w:p>
    <w:p w:rsidR="00347A23" w:rsidRPr="00347A23" w:rsidRDefault="00347A23" w:rsidP="00FB727F">
      <w:pPr>
        <w:numPr>
          <w:ilvl w:val="0"/>
          <w:numId w:val="26"/>
        </w:numPr>
        <w:contextualSpacing/>
      </w:pPr>
      <w:r w:rsidRPr="00347A23">
        <w:t>Actieprogramma Veiligheidshuis Kennemerland 2017</w:t>
      </w:r>
    </w:p>
    <w:p w:rsidR="00347A23" w:rsidRPr="00347A23" w:rsidRDefault="00347A23" w:rsidP="00FB727F">
      <w:pPr>
        <w:numPr>
          <w:ilvl w:val="0"/>
          <w:numId w:val="26"/>
        </w:numPr>
        <w:contextualSpacing/>
      </w:pPr>
      <w:r w:rsidRPr="00347A23">
        <w:t>Jaarverslag Veiligheidshuis Kennemerland 2015</w:t>
      </w:r>
    </w:p>
    <w:p w:rsidR="00347A23" w:rsidRPr="00347A23" w:rsidRDefault="00347A23" w:rsidP="00FB727F">
      <w:pPr>
        <w:numPr>
          <w:ilvl w:val="0"/>
          <w:numId w:val="26"/>
        </w:numPr>
        <w:contextualSpacing/>
      </w:pPr>
      <w:r w:rsidRPr="00347A23">
        <w:t>Landelijk Kader Veiligheidshuizen (2013)</w:t>
      </w:r>
    </w:p>
    <w:p w:rsidR="00347A23" w:rsidRPr="00347A23" w:rsidRDefault="00347A23" w:rsidP="00FB727F">
      <w:pPr>
        <w:numPr>
          <w:ilvl w:val="0"/>
          <w:numId w:val="26"/>
        </w:numPr>
        <w:contextualSpacing/>
      </w:pPr>
      <w:r w:rsidRPr="00347A23">
        <w:t>Convenant Re-integratie van (ex-) gedetineerden, ministerie van Veiligheid en Justitie, DJI en VNG (2014)</w:t>
      </w:r>
    </w:p>
    <w:p w:rsidR="00347A23" w:rsidRPr="00347A23" w:rsidRDefault="00347A23" w:rsidP="00FB727F">
      <w:pPr>
        <w:numPr>
          <w:ilvl w:val="0"/>
          <w:numId w:val="26"/>
        </w:numPr>
        <w:contextualSpacing/>
        <w:rPr>
          <w:b/>
        </w:rPr>
      </w:pPr>
      <w:r w:rsidRPr="00347A23">
        <w:t>Handreiking Richting aan Re-integratie in de praktijk (2014)</w:t>
      </w:r>
      <w:r w:rsidR="005615F6">
        <w:t xml:space="preserve"> </w:t>
      </w:r>
    </w:p>
    <w:p w:rsidR="00347A23" w:rsidRPr="00347A23" w:rsidRDefault="00347A23" w:rsidP="00347A23">
      <w:pPr>
        <w:rPr>
          <w:b/>
        </w:rPr>
      </w:pPr>
    </w:p>
    <w:p w:rsidR="00347A23" w:rsidRPr="00347A23" w:rsidRDefault="00347A23" w:rsidP="00347A23">
      <w:pPr>
        <w:rPr>
          <w:b/>
        </w:rPr>
      </w:pPr>
    </w:p>
    <w:p w:rsidR="00347A23" w:rsidRPr="00347A23" w:rsidRDefault="00347A23" w:rsidP="00347A23">
      <w:pPr>
        <w:rPr>
          <w:b/>
        </w:rPr>
      </w:pPr>
      <w:r w:rsidRPr="00347A23">
        <w:rPr>
          <w:b/>
        </w:rPr>
        <w:lastRenderedPageBreak/>
        <w:t>Risico’s</w:t>
      </w:r>
    </w:p>
    <w:tbl>
      <w:tblPr>
        <w:tblStyle w:val="Tabelraster12"/>
        <w:tblW w:w="0" w:type="auto"/>
        <w:tblLook w:val="04A0" w:firstRow="1" w:lastRow="0" w:firstColumn="1" w:lastColumn="0" w:noHBand="0" w:noVBand="1"/>
      </w:tblPr>
      <w:tblGrid>
        <w:gridCol w:w="2950"/>
        <w:gridCol w:w="6089"/>
      </w:tblGrid>
      <w:tr w:rsidR="00347A23" w:rsidRPr="00347A23" w:rsidTr="001434D1">
        <w:tc>
          <w:tcPr>
            <w:tcW w:w="2950" w:type="dxa"/>
            <w:shd w:val="clear" w:color="auto" w:fill="C6D9F1" w:themeFill="text2" w:themeFillTint="33"/>
          </w:tcPr>
          <w:p w:rsidR="00347A23" w:rsidRPr="00347A23" w:rsidRDefault="00347A23" w:rsidP="00347A23">
            <w:r w:rsidRPr="00347A23">
              <w:t>Risico</w:t>
            </w:r>
          </w:p>
        </w:tc>
        <w:tc>
          <w:tcPr>
            <w:tcW w:w="6089" w:type="dxa"/>
            <w:shd w:val="clear" w:color="auto" w:fill="C6D9F1" w:themeFill="text2" w:themeFillTint="33"/>
          </w:tcPr>
          <w:p w:rsidR="00347A23" w:rsidRPr="00347A23" w:rsidRDefault="00347A23" w:rsidP="00347A23">
            <w:r w:rsidRPr="00347A23">
              <w:t>Beheersmaatregel</w:t>
            </w:r>
          </w:p>
        </w:tc>
      </w:tr>
      <w:tr w:rsidR="00347A23" w:rsidRPr="00347A23" w:rsidTr="001434D1">
        <w:tc>
          <w:tcPr>
            <w:tcW w:w="2950" w:type="dxa"/>
          </w:tcPr>
          <w:p w:rsidR="00347A23" w:rsidRPr="00347A23" w:rsidRDefault="00347A23" w:rsidP="00347A23">
            <w:r w:rsidRPr="00347A23">
              <w:t>Financiering</w:t>
            </w:r>
          </w:p>
        </w:tc>
        <w:tc>
          <w:tcPr>
            <w:tcW w:w="6089" w:type="dxa"/>
          </w:tcPr>
          <w:p w:rsidR="00347A23" w:rsidRPr="00347A23" w:rsidRDefault="00347A23" w:rsidP="00347A23">
            <w:r w:rsidRPr="00347A23">
              <w:t>De cofinanciering door de gemeenten en de volledige financiering door de gemeenten van het regionaal coördinatiepunt Nazorg ex-gedetineerden is</w:t>
            </w:r>
            <w:r w:rsidR="005615F6">
              <w:t xml:space="preserve"> </w:t>
            </w:r>
            <w:r w:rsidRPr="00347A23">
              <w:t>vastgesteld tot en met 2018. Sinds 2017 worden binnen de kerntaak van het Veiligheidshuis</w:t>
            </w:r>
            <w:r w:rsidR="005615F6">
              <w:t xml:space="preserve"> </w:t>
            </w:r>
            <w:r w:rsidRPr="00347A23">
              <w:t>nieuwe thema’s</w:t>
            </w:r>
            <w:r w:rsidR="005615F6">
              <w:t xml:space="preserve"> </w:t>
            </w:r>
            <w:r w:rsidRPr="00347A23">
              <w:t xml:space="preserve">opgepakt, zoals de aanpak radicalisering en het contextgericht werken op ZSM. </w:t>
            </w:r>
          </w:p>
          <w:p w:rsidR="00347A23" w:rsidRPr="00347A23" w:rsidRDefault="00347A23" w:rsidP="00347A23">
            <w:r w:rsidRPr="00347A23">
              <w:t xml:space="preserve">Deze nieuwe (extra) thema’s en de ontwikkeling van een </w:t>
            </w:r>
            <w:proofErr w:type="spellStart"/>
            <w:r w:rsidRPr="00347A23">
              <w:t>meerjarenagenda</w:t>
            </w:r>
            <w:proofErr w:type="spellEnd"/>
            <w:r w:rsidRPr="00347A23">
              <w:t xml:space="preserve"> Veiligheidshuizen op landelijk niveau zijn reden om regionaal een dialoog te starten over de toekomst van het Veiligheidshuis in Kennemerland. De vraag waar het Veiligheidshuis van is en hoe partners bediend worden in hun belangen is dus belangrijk. In 2017 wordt verder geïnvesteerd in die</w:t>
            </w:r>
            <w:r w:rsidR="005615F6">
              <w:t xml:space="preserve"> </w:t>
            </w:r>
            <w:r w:rsidRPr="00347A23">
              <w:t xml:space="preserve">dialoog, die moet leiden tot een gedragen strategische visie op rol en taken van het Veiligheidshuis in Kennemerland en een daarbij aansluitende </w:t>
            </w:r>
            <w:proofErr w:type="spellStart"/>
            <w:r w:rsidRPr="00347A23">
              <w:t>meerjarenagenda</w:t>
            </w:r>
            <w:proofErr w:type="spellEnd"/>
            <w:r w:rsidRPr="00347A23">
              <w:t xml:space="preserve"> vanaf 2018.</w:t>
            </w:r>
            <w:r w:rsidR="005615F6">
              <w:t xml:space="preserve"> </w:t>
            </w:r>
          </w:p>
        </w:tc>
      </w:tr>
      <w:tr w:rsidR="00347A23" w:rsidRPr="00347A23" w:rsidTr="001434D1">
        <w:tc>
          <w:tcPr>
            <w:tcW w:w="2950" w:type="dxa"/>
          </w:tcPr>
          <w:p w:rsidR="00347A23" w:rsidRPr="00347A23" w:rsidRDefault="00347A23" w:rsidP="00347A23">
            <w:r w:rsidRPr="00347A23">
              <w:t>Maatschappelijke onrust bij escalatie van problematiek in een casus</w:t>
            </w:r>
          </w:p>
        </w:tc>
        <w:tc>
          <w:tcPr>
            <w:tcW w:w="6089" w:type="dxa"/>
          </w:tcPr>
          <w:p w:rsidR="00347A23" w:rsidRPr="00347A23" w:rsidRDefault="00347A23" w:rsidP="00347A23">
            <w:r w:rsidRPr="00347A23">
              <w:t>Goede coördinatie tussen partners, inclusief afspraken over regie en verantwoordelijkheden.</w:t>
            </w:r>
          </w:p>
        </w:tc>
      </w:tr>
    </w:tbl>
    <w:p w:rsidR="00347A23" w:rsidRPr="00347A23" w:rsidRDefault="00347A23" w:rsidP="00347A23">
      <w:pPr>
        <w:rPr>
          <w:b/>
        </w:rPr>
      </w:pPr>
    </w:p>
    <w:p w:rsidR="00DD539A" w:rsidRDefault="00DD539A" w:rsidP="00DD539A">
      <w:pPr>
        <w:rPr>
          <w:b/>
        </w:rPr>
      </w:pPr>
    </w:p>
    <w:p w:rsidR="00DD539A" w:rsidRPr="003542F3" w:rsidRDefault="00DD539A" w:rsidP="00DD539A">
      <w:pPr>
        <w:rPr>
          <w:b/>
        </w:rPr>
      </w:pPr>
    </w:p>
    <w:p w:rsidR="00DD539A" w:rsidRPr="003542F3" w:rsidRDefault="00DD539A" w:rsidP="00DD539A">
      <w:pPr>
        <w:rPr>
          <w:b/>
        </w:rPr>
        <w:sectPr w:rsidR="00DD539A" w:rsidRPr="003542F3" w:rsidSect="001B4283">
          <w:pgSz w:w="11906" w:h="16838"/>
          <w:pgMar w:top="1417" w:right="1417" w:bottom="1417" w:left="1417" w:header="708" w:footer="708" w:gutter="0"/>
          <w:cols w:space="708"/>
          <w:docGrid w:linePitch="360"/>
        </w:sectPr>
      </w:pPr>
    </w:p>
    <w:p w:rsidR="00DD539A" w:rsidRPr="003542F3" w:rsidRDefault="00DD539A" w:rsidP="00DD539A">
      <w:pPr>
        <w:rPr>
          <w:b/>
        </w:rPr>
      </w:pPr>
      <w:r w:rsidRPr="003542F3">
        <w:rPr>
          <w:b/>
        </w:rPr>
        <w:lastRenderedPageBreak/>
        <w:t>Doelenboom</w:t>
      </w:r>
    </w:p>
    <w:tbl>
      <w:tblPr>
        <w:tblStyle w:val="Tabelraster5"/>
        <w:tblW w:w="14283" w:type="dxa"/>
        <w:tblLook w:val="04A0" w:firstRow="1" w:lastRow="0" w:firstColumn="1" w:lastColumn="0" w:noHBand="0" w:noVBand="1"/>
      </w:tblPr>
      <w:tblGrid>
        <w:gridCol w:w="2142"/>
        <w:gridCol w:w="2502"/>
        <w:gridCol w:w="6663"/>
        <w:gridCol w:w="2976"/>
      </w:tblGrid>
      <w:tr w:rsidR="002F63ED" w:rsidRPr="0005156D" w:rsidTr="001434D1">
        <w:tc>
          <w:tcPr>
            <w:tcW w:w="4644" w:type="dxa"/>
            <w:gridSpan w:val="2"/>
          </w:tcPr>
          <w:p w:rsidR="002F63ED" w:rsidRPr="0005156D" w:rsidRDefault="002F63ED" w:rsidP="001434D1">
            <w:pPr>
              <w:rPr>
                <w:i/>
              </w:rPr>
            </w:pPr>
            <w:r w:rsidRPr="0005156D">
              <w:rPr>
                <w:i/>
              </w:rPr>
              <w:t>Wat willen we bereiken</w:t>
            </w:r>
          </w:p>
        </w:tc>
        <w:tc>
          <w:tcPr>
            <w:tcW w:w="6663" w:type="dxa"/>
          </w:tcPr>
          <w:p w:rsidR="002F63ED" w:rsidRPr="0005156D" w:rsidRDefault="002F63ED" w:rsidP="001434D1">
            <w:pPr>
              <w:rPr>
                <w:i/>
              </w:rPr>
            </w:pPr>
            <w:r w:rsidRPr="0005156D">
              <w:rPr>
                <w:i/>
              </w:rPr>
              <w:t>Wat gaan we er voor doen</w:t>
            </w:r>
          </w:p>
        </w:tc>
        <w:tc>
          <w:tcPr>
            <w:tcW w:w="2976" w:type="dxa"/>
            <w:vMerge w:val="restart"/>
          </w:tcPr>
          <w:p w:rsidR="002F63ED" w:rsidRPr="0005156D" w:rsidRDefault="002F63ED" w:rsidP="001434D1">
            <w:pPr>
              <w:rPr>
                <w:i/>
              </w:rPr>
            </w:pPr>
            <w:r w:rsidRPr="0005156D">
              <w:rPr>
                <w:i/>
              </w:rPr>
              <w:t>Wat is het beoogd maatschappelijk effect</w:t>
            </w:r>
          </w:p>
        </w:tc>
      </w:tr>
      <w:tr w:rsidR="002F63ED" w:rsidRPr="0005156D" w:rsidTr="001434D1">
        <w:tc>
          <w:tcPr>
            <w:tcW w:w="2142" w:type="dxa"/>
          </w:tcPr>
          <w:p w:rsidR="002F63ED" w:rsidRPr="0005156D" w:rsidRDefault="002F63ED" w:rsidP="001434D1">
            <w:r w:rsidRPr="0005156D">
              <w:t>Strategisch doel</w:t>
            </w:r>
          </w:p>
        </w:tc>
        <w:tc>
          <w:tcPr>
            <w:tcW w:w="2502" w:type="dxa"/>
          </w:tcPr>
          <w:p w:rsidR="002F63ED" w:rsidRPr="0005156D" w:rsidRDefault="002F63ED" w:rsidP="001434D1">
            <w:r w:rsidRPr="0005156D">
              <w:t>Operationeel doel</w:t>
            </w:r>
          </w:p>
        </w:tc>
        <w:tc>
          <w:tcPr>
            <w:tcW w:w="6663" w:type="dxa"/>
          </w:tcPr>
          <w:p w:rsidR="002F63ED" w:rsidRPr="0005156D" w:rsidRDefault="002F63ED" w:rsidP="001434D1">
            <w:r w:rsidRPr="0005156D">
              <w:t>Prestatie 201</w:t>
            </w:r>
            <w:r>
              <w:t>8</w:t>
            </w:r>
            <w:r w:rsidRPr="0005156D">
              <w:t>-202</w:t>
            </w:r>
            <w:r>
              <w:t>1</w:t>
            </w:r>
          </w:p>
        </w:tc>
        <w:tc>
          <w:tcPr>
            <w:tcW w:w="2976" w:type="dxa"/>
            <w:vMerge/>
          </w:tcPr>
          <w:p w:rsidR="002F63ED" w:rsidRPr="0005156D" w:rsidRDefault="002F63ED" w:rsidP="001434D1"/>
        </w:tc>
      </w:tr>
      <w:tr w:rsidR="002F63ED" w:rsidRPr="0005156D" w:rsidTr="001434D1">
        <w:tc>
          <w:tcPr>
            <w:tcW w:w="14283" w:type="dxa"/>
            <w:gridSpan w:val="4"/>
            <w:shd w:val="clear" w:color="auto" w:fill="C6D9F1" w:themeFill="text2" w:themeFillTint="33"/>
          </w:tcPr>
          <w:p w:rsidR="002F63ED" w:rsidRPr="0005156D" w:rsidRDefault="002F63ED" w:rsidP="001434D1"/>
        </w:tc>
      </w:tr>
      <w:tr w:rsidR="002F63ED" w:rsidRPr="0005156D" w:rsidTr="001434D1">
        <w:tc>
          <w:tcPr>
            <w:tcW w:w="2142" w:type="dxa"/>
            <w:vMerge w:val="restart"/>
          </w:tcPr>
          <w:p w:rsidR="002F63ED" w:rsidRPr="0005156D" w:rsidRDefault="002F63ED" w:rsidP="001434D1">
            <w:r w:rsidRPr="0005156D">
              <w:t>Bijdrage leveren aan vermindering criminaliteit, overlast en veiligheidsproblemen in de regio Kennemerland</w:t>
            </w:r>
          </w:p>
        </w:tc>
        <w:tc>
          <w:tcPr>
            <w:tcW w:w="2502" w:type="dxa"/>
          </w:tcPr>
          <w:p w:rsidR="002F63ED" w:rsidRPr="0005156D" w:rsidRDefault="002F63ED" w:rsidP="001434D1">
            <w:r w:rsidRPr="0005156D">
              <w:t>Een platform bieden waar partnerorganisaties</w:t>
            </w:r>
            <w:r w:rsidR="005615F6">
              <w:t xml:space="preserve"> </w:t>
            </w:r>
            <w:r w:rsidRPr="0005156D">
              <w:t>complexe casuïstiek, waarbij een combinatie van repressieve, bestuurlijke en zorg interventies wenselijk is, kunnen voorleggen en het faciliteren van een gezamenlijke aanpak.</w:t>
            </w:r>
          </w:p>
        </w:tc>
        <w:tc>
          <w:tcPr>
            <w:tcW w:w="6663" w:type="dxa"/>
          </w:tcPr>
          <w:p w:rsidR="002F63ED" w:rsidRPr="0005156D" w:rsidRDefault="002F63ED" w:rsidP="001434D1">
            <w:r w:rsidRPr="0005156D">
              <w:t>Faciliteren, coördineren en monitoren van persoonsgerichte integrale aanpak van complexe casussen:</w:t>
            </w:r>
          </w:p>
          <w:p w:rsidR="002F63ED" w:rsidRPr="0005156D" w:rsidRDefault="002F63ED" w:rsidP="00FB727F">
            <w:pPr>
              <w:numPr>
                <w:ilvl w:val="0"/>
                <w:numId w:val="27"/>
              </w:numPr>
            </w:pPr>
            <w:r w:rsidRPr="0005156D">
              <w:t>beoordelen van binnengekomen meldingen</w:t>
            </w:r>
          </w:p>
          <w:p w:rsidR="002F63ED" w:rsidRPr="0005156D" w:rsidRDefault="002F63ED" w:rsidP="00FB727F">
            <w:pPr>
              <w:numPr>
                <w:ilvl w:val="0"/>
                <w:numId w:val="27"/>
              </w:numPr>
            </w:pPr>
            <w:r w:rsidRPr="0005156D">
              <w:t>informatieverzameling ter verrijking van meldingen</w:t>
            </w:r>
          </w:p>
          <w:p w:rsidR="002F63ED" w:rsidRPr="0005156D" w:rsidRDefault="002F63ED" w:rsidP="00FB727F">
            <w:pPr>
              <w:numPr>
                <w:ilvl w:val="0"/>
                <w:numId w:val="27"/>
              </w:numPr>
            </w:pPr>
            <w:r w:rsidRPr="0005156D">
              <w:t xml:space="preserve">het organiseren van (individueel) </w:t>
            </w:r>
            <w:proofErr w:type="spellStart"/>
            <w:r w:rsidRPr="0005156D">
              <w:t>casusoverleggen</w:t>
            </w:r>
            <w:proofErr w:type="spellEnd"/>
          </w:p>
          <w:p w:rsidR="002F63ED" w:rsidRPr="0005156D" w:rsidRDefault="002F63ED" w:rsidP="00FB727F">
            <w:pPr>
              <w:numPr>
                <w:ilvl w:val="0"/>
                <w:numId w:val="27"/>
              </w:numPr>
            </w:pPr>
            <w:r w:rsidRPr="0005156D">
              <w:t xml:space="preserve">voorzitten (individueel) </w:t>
            </w:r>
            <w:proofErr w:type="spellStart"/>
            <w:r w:rsidRPr="0005156D">
              <w:t>casusoverleggen</w:t>
            </w:r>
            <w:proofErr w:type="spellEnd"/>
          </w:p>
          <w:p w:rsidR="002F63ED" w:rsidRPr="0005156D" w:rsidRDefault="002F63ED" w:rsidP="00FB727F">
            <w:pPr>
              <w:numPr>
                <w:ilvl w:val="0"/>
                <w:numId w:val="27"/>
              </w:numPr>
            </w:pPr>
            <w:r w:rsidRPr="0005156D">
              <w:t xml:space="preserve">vastleggen van gezamenlijk plan van aanpak </w:t>
            </w:r>
          </w:p>
          <w:p w:rsidR="002F63ED" w:rsidRPr="0005156D" w:rsidRDefault="002F63ED" w:rsidP="00FB727F">
            <w:pPr>
              <w:numPr>
                <w:ilvl w:val="0"/>
                <w:numId w:val="27"/>
              </w:numPr>
            </w:pPr>
            <w:r w:rsidRPr="0005156D">
              <w:t>monitoren van de uitvoering van de plannen van aanpak</w:t>
            </w:r>
          </w:p>
          <w:p w:rsidR="002F63ED" w:rsidRPr="0005156D" w:rsidRDefault="002F63ED" w:rsidP="001434D1">
            <w:r w:rsidRPr="0005156D">
              <w:t>Het voeren van de procesregie op de samenwerking</w:t>
            </w:r>
          </w:p>
        </w:tc>
        <w:tc>
          <w:tcPr>
            <w:tcW w:w="2976" w:type="dxa"/>
            <w:vMerge w:val="restart"/>
          </w:tcPr>
          <w:p w:rsidR="002F63ED" w:rsidRPr="0005156D" w:rsidRDefault="002F63ED" w:rsidP="001434D1">
            <w:r w:rsidRPr="0005156D">
              <w:t>Vergroten</w:t>
            </w:r>
            <w:r w:rsidR="005615F6">
              <w:t xml:space="preserve"> </w:t>
            </w:r>
            <w:r w:rsidRPr="0005156D">
              <w:t>van veiligheid door vermindering van recidive en vermindering van overlast</w:t>
            </w:r>
          </w:p>
          <w:p w:rsidR="002F63ED" w:rsidRPr="0005156D" w:rsidRDefault="002F63ED" w:rsidP="001434D1"/>
        </w:tc>
      </w:tr>
      <w:tr w:rsidR="002F63ED" w:rsidRPr="0005156D" w:rsidTr="001434D1">
        <w:tc>
          <w:tcPr>
            <w:tcW w:w="2142" w:type="dxa"/>
            <w:vMerge/>
          </w:tcPr>
          <w:p w:rsidR="002F63ED" w:rsidRPr="0005156D" w:rsidRDefault="002F63ED" w:rsidP="001434D1"/>
        </w:tc>
        <w:tc>
          <w:tcPr>
            <w:tcW w:w="2502" w:type="dxa"/>
            <w:tcBorders>
              <w:bottom w:val="single" w:sz="4" w:space="0" w:color="auto"/>
            </w:tcBorders>
          </w:tcPr>
          <w:p w:rsidR="002F63ED" w:rsidRPr="0005156D" w:rsidRDefault="002F63ED" w:rsidP="001434D1">
            <w:r w:rsidRPr="0005156D">
              <w:t>Vrijwillige nazorg aan meerderjarige (ex) gedetineerden voor de aangesloten 9 gemeenten</w:t>
            </w:r>
          </w:p>
        </w:tc>
        <w:tc>
          <w:tcPr>
            <w:tcW w:w="6663" w:type="dxa"/>
            <w:tcBorders>
              <w:bottom w:val="single" w:sz="4" w:space="0" w:color="auto"/>
            </w:tcBorders>
          </w:tcPr>
          <w:p w:rsidR="002F63ED" w:rsidRDefault="002F63ED" w:rsidP="00FB727F">
            <w:pPr>
              <w:pStyle w:val="Lijstalinea"/>
              <w:numPr>
                <w:ilvl w:val="0"/>
                <w:numId w:val="36"/>
              </w:numPr>
            </w:pPr>
            <w:r w:rsidRPr="0005156D">
              <w:t xml:space="preserve">Screening van alle </w:t>
            </w:r>
            <w:r>
              <w:t xml:space="preserve">gedetineerde </w:t>
            </w:r>
            <w:r w:rsidRPr="0005156D">
              <w:t>personen uit de 9 deelnemende gemeenten</w:t>
            </w:r>
            <w:r w:rsidR="005615F6">
              <w:t xml:space="preserve"> </w:t>
            </w:r>
            <w:r w:rsidR="00665558">
              <w:t xml:space="preserve">(m.u.v. Heemstede) </w:t>
            </w:r>
            <w:r w:rsidRPr="0005156D">
              <w:t>op vijf leefgebieden (inkomen, huisvesting, ID bewijs, schulden en zorg).</w:t>
            </w:r>
          </w:p>
          <w:p w:rsidR="002F63ED" w:rsidRDefault="002F63ED" w:rsidP="00FB727F">
            <w:pPr>
              <w:pStyle w:val="Lijstalinea"/>
              <w:numPr>
                <w:ilvl w:val="0"/>
                <w:numId w:val="36"/>
              </w:numPr>
            </w:pPr>
            <w:r w:rsidRPr="0005156D">
              <w:t xml:space="preserve">Zorgdragen voor de juiste ondersteuning aan ex gedetineerden door uitzetten hulpvraag bij gemeenten, inzet ketenpartners en/of inbreng en een gezamenlijk plan van aanpak in het Veiligheidshuis. </w:t>
            </w:r>
          </w:p>
          <w:p w:rsidR="002F63ED" w:rsidRPr="0005156D" w:rsidRDefault="002F63ED" w:rsidP="00FB727F">
            <w:pPr>
              <w:pStyle w:val="Lijstalinea"/>
              <w:numPr>
                <w:ilvl w:val="0"/>
                <w:numId w:val="36"/>
              </w:numPr>
            </w:pPr>
            <w:r w:rsidRPr="0005156D">
              <w:t>Advisering gemeenten in kader van Bestuurlijke</w:t>
            </w:r>
            <w:r>
              <w:t xml:space="preserve"> Informatie Justitiabelen </w:t>
            </w:r>
          </w:p>
        </w:tc>
        <w:tc>
          <w:tcPr>
            <w:tcW w:w="2976" w:type="dxa"/>
            <w:vMerge/>
          </w:tcPr>
          <w:p w:rsidR="002F63ED" w:rsidRPr="0005156D" w:rsidRDefault="002F63ED" w:rsidP="001434D1"/>
        </w:tc>
      </w:tr>
      <w:tr w:rsidR="002F63ED" w:rsidRPr="0005156D" w:rsidTr="001434D1">
        <w:trPr>
          <w:trHeight w:val="460"/>
        </w:trPr>
        <w:tc>
          <w:tcPr>
            <w:tcW w:w="2142" w:type="dxa"/>
            <w:vMerge/>
            <w:tcBorders>
              <w:bottom w:val="single" w:sz="4" w:space="0" w:color="auto"/>
            </w:tcBorders>
          </w:tcPr>
          <w:p w:rsidR="002F63ED" w:rsidRPr="0005156D" w:rsidRDefault="002F63ED" w:rsidP="001434D1"/>
        </w:tc>
        <w:tc>
          <w:tcPr>
            <w:tcW w:w="2502" w:type="dxa"/>
            <w:tcBorders>
              <w:bottom w:val="single" w:sz="4" w:space="0" w:color="auto"/>
            </w:tcBorders>
          </w:tcPr>
          <w:p w:rsidR="002F63ED" w:rsidRPr="0005156D" w:rsidRDefault="002F63ED" w:rsidP="001434D1">
            <w:r w:rsidRPr="0005156D">
              <w:t>Vervullen van een adviesrol voor gemeenten en andere partners</w:t>
            </w:r>
          </w:p>
        </w:tc>
        <w:tc>
          <w:tcPr>
            <w:tcW w:w="6663" w:type="dxa"/>
            <w:tcBorders>
              <w:bottom w:val="single" w:sz="4" w:space="0" w:color="auto"/>
            </w:tcBorders>
          </w:tcPr>
          <w:p w:rsidR="002F63ED" w:rsidRDefault="002F63ED" w:rsidP="00FB727F">
            <w:pPr>
              <w:pStyle w:val="Lijstalinea"/>
              <w:numPr>
                <w:ilvl w:val="0"/>
                <w:numId w:val="35"/>
              </w:numPr>
            </w:pPr>
            <w:r w:rsidRPr="0005156D">
              <w:t>In landelijke, regionale en lokale overleggen actief signaleren van problematiek op het gebied van veiligheid en omissies in beleid en meedenken en adviseren over mogelijke aanpakken</w:t>
            </w:r>
          </w:p>
          <w:p w:rsidR="002F63ED" w:rsidRDefault="002F63ED" w:rsidP="00FB727F">
            <w:pPr>
              <w:pStyle w:val="Lijstalinea"/>
              <w:numPr>
                <w:ilvl w:val="0"/>
                <w:numId w:val="35"/>
              </w:numPr>
            </w:pPr>
            <w:r w:rsidRPr="0005156D">
              <w:t>Fungeren als kenniscentrum over de aanpak van specifieke veiligheidsproblemen</w:t>
            </w:r>
          </w:p>
          <w:p w:rsidR="002F63ED" w:rsidRPr="0005156D" w:rsidRDefault="002F63ED" w:rsidP="00FB727F">
            <w:pPr>
              <w:pStyle w:val="Lijstalinea"/>
              <w:numPr>
                <w:ilvl w:val="0"/>
                <w:numId w:val="35"/>
              </w:numPr>
            </w:pPr>
            <w:r w:rsidRPr="0005156D">
              <w:t>Fungeren als aanspreekpunt voor gemeenten en partners voor overleg over de aanpak van individuele complexe casuïstiek en over (lokale en regionale) veiligheidsproblemen</w:t>
            </w:r>
          </w:p>
        </w:tc>
        <w:tc>
          <w:tcPr>
            <w:tcW w:w="2976" w:type="dxa"/>
            <w:vMerge/>
            <w:tcBorders>
              <w:bottom w:val="single" w:sz="4" w:space="0" w:color="auto"/>
            </w:tcBorders>
          </w:tcPr>
          <w:p w:rsidR="002F63ED" w:rsidRPr="0005156D" w:rsidRDefault="002F63ED" w:rsidP="001434D1"/>
        </w:tc>
      </w:tr>
    </w:tbl>
    <w:p w:rsidR="00DD539A" w:rsidRPr="003542F3" w:rsidRDefault="00DD539A" w:rsidP="00DD539A">
      <w:pPr>
        <w:rPr>
          <w:b/>
        </w:rPr>
        <w:sectPr w:rsidR="00DD539A" w:rsidRPr="003542F3" w:rsidSect="00BF0184">
          <w:pgSz w:w="16838" w:h="11906" w:orient="landscape"/>
          <w:pgMar w:top="1417" w:right="1417" w:bottom="1417" w:left="1417" w:header="708" w:footer="708" w:gutter="0"/>
          <w:cols w:space="708"/>
          <w:docGrid w:linePitch="360"/>
        </w:sectPr>
      </w:pPr>
      <w:r>
        <w:rPr>
          <w:b/>
        </w:rPr>
        <w:tab/>
      </w:r>
    </w:p>
    <w:p w:rsidR="00DD539A" w:rsidRPr="0005156D" w:rsidRDefault="00DD539A" w:rsidP="00DD539A">
      <w:pPr>
        <w:rPr>
          <w:b/>
        </w:rPr>
      </w:pPr>
      <w:r w:rsidRPr="0005156D">
        <w:rPr>
          <w:b/>
        </w:rPr>
        <w:lastRenderedPageBreak/>
        <w:t>taakveld 1.2</w:t>
      </w:r>
      <w:r w:rsidR="00C373A7">
        <w:rPr>
          <w:b/>
        </w:rPr>
        <w:t xml:space="preserve"> Openbare orde en veiligheid</w:t>
      </w:r>
    </w:p>
    <w:p w:rsidR="00DD539A" w:rsidRDefault="00DD539A" w:rsidP="00DD539A">
      <w:r w:rsidRPr="0005156D">
        <w:t>Het Veiligheidshuis en het regionaal coördinatiepunt Nazorg ex-gedetineerden zijn onderdeel van het integrale veiligheidsbeleid van de gemeenten.</w:t>
      </w:r>
    </w:p>
    <w:p w:rsidR="00DD539A" w:rsidRPr="003542F3" w:rsidRDefault="00DD539A" w:rsidP="00DD539A">
      <w:pPr>
        <w:rPr>
          <w:b/>
        </w:rPr>
      </w:pPr>
      <w:r w:rsidRPr="003542F3">
        <w:rPr>
          <w:b/>
        </w:rPr>
        <w:t>Wat mag het kosten?</w:t>
      </w:r>
    </w:p>
    <w:p w:rsidR="00DD539A" w:rsidRPr="003542F3" w:rsidRDefault="00691BED" w:rsidP="00DD539A">
      <w:r w:rsidRPr="00691BED">
        <w:rPr>
          <w:noProof/>
          <w:lang w:eastAsia="nl-NL"/>
        </w:rPr>
        <w:drawing>
          <wp:inline distT="0" distB="0" distL="0" distR="0" wp14:anchorId="45D23587" wp14:editId="2C5C43FA">
            <wp:extent cx="5760720" cy="3783159"/>
            <wp:effectExtent l="0" t="0" r="0" b="8255"/>
            <wp:docPr id="86" name="Afbeelding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60720" cy="3783159"/>
                    </a:xfrm>
                    <a:prstGeom prst="rect">
                      <a:avLst/>
                    </a:prstGeom>
                    <a:noFill/>
                    <a:ln>
                      <a:noFill/>
                    </a:ln>
                  </pic:spPr>
                </pic:pic>
              </a:graphicData>
            </a:graphic>
          </wp:inline>
        </w:drawing>
      </w:r>
    </w:p>
    <w:p w:rsidR="00860243" w:rsidRDefault="0027378C" w:rsidP="00DD539A">
      <w:pPr>
        <w:rPr>
          <w:sz w:val="20"/>
          <w:szCs w:val="20"/>
        </w:rPr>
      </w:pPr>
      <w:r w:rsidRPr="0027378C">
        <w:rPr>
          <w:noProof/>
          <w:lang w:eastAsia="nl-NL"/>
        </w:rPr>
        <w:drawing>
          <wp:inline distT="0" distB="0" distL="0" distR="0" wp14:anchorId="6AA88FAE" wp14:editId="5F9CF973">
            <wp:extent cx="5448300" cy="231457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48300" cy="2314575"/>
                    </a:xfrm>
                    <a:prstGeom prst="rect">
                      <a:avLst/>
                    </a:prstGeom>
                    <a:noFill/>
                    <a:ln>
                      <a:noFill/>
                    </a:ln>
                  </pic:spPr>
                </pic:pic>
              </a:graphicData>
            </a:graphic>
          </wp:inline>
        </w:drawing>
      </w:r>
    </w:p>
    <w:p w:rsidR="00860243" w:rsidRDefault="00860243" w:rsidP="00DD539A">
      <w:pPr>
        <w:rPr>
          <w:sz w:val="20"/>
          <w:szCs w:val="20"/>
        </w:rPr>
      </w:pPr>
    </w:p>
    <w:p w:rsidR="00DD539A" w:rsidRPr="00701E62" w:rsidRDefault="00DD539A" w:rsidP="00701E62">
      <w:pPr>
        <w:rPr>
          <w:sz w:val="20"/>
          <w:szCs w:val="20"/>
        </w:rPr>
      </w:pPr>
    </w:p>
    <w:p w:rsidR="00F64675" w:rsidRDefault="00F64675">
      <w:pPr>
        <w:rPr>
          <w:rFonts w:asciiTheme="majorHAnsi" w:eastAsiaTheme="majorEastAsia" w:hAnsiTheme="majorHAnsi" w:cstheme="majorBidi"/>
          <w:b/>
          <w:bCs/>
          <w:color w:val="4F81BD" w:themeColor="accent1"/>
          <w:sz w:val="26"/>
          <w:szCs w:val="26"/>
        </w:rPr>
      </w:pPr>
      <w:bookmarkStart w:id="22" w:name="_Toc436144461"/>
      <w:r>
        <w:br w:type="page"/>
      </w:r>
    </w:p>
    <w:p w:rsidR="00282673" w:rsidRDefault="00282673" w:rsidP="0069463B">
      <w:pPr>
        <w:pStyle w:val="Kop2"/>
        <w:numPr>
          <w:ilvl w:val="1"/>
          <w:numId w:val="1"/>
        </w:numPr>
      </w:pPr>
      <w:bookmarkStart w:id="23" w:name="_Toc436144462"/>
      <w:bookmarkStart w:id="24" w:name="_Toc478655812"/>
      <w:bookmarkEnd w:id="22"/>
      <w:r>
        <w:lastRenderedPageBreak/>
        <w:t xml:space="preserve">Programma </w:t>
      </w:r>
      <w:r w:rsidR="000E32AD">
        <w:t>Interne dienstverlening</w:t>
      </w:r>
      <w:bookmarkEnd w:id="23"/>
      <w:bookmarkEnd w:id="24"/>
    </w:p>
    <w:p w:rsidR="00806CD2" w:rsidRDefault="00806CD2" w:rsidP="00806CD2">
      <w:pPr>
        <w:pStyle w:val="Geenafstand"/>
      </w:pPr>
    </w:p>
    <w:p w:rsidR="00D81CF0" w:rsidRPr="00D81CF0" w:rsidRDefault="00D81CF0" w:rsidP="00D81CF0">
      <w:pPr>
        <w:rPr>
          <w:b/>
        </w:rPr>
      </w:pPr>
      <w:r w:rsidRPr="00D81CF0">
        <w:rPr>
          <w:b/>
        </w:rPr>
        <w:t>Ambitie van het programma</w:t>
      </w:r>
    </w:p>
    <w:p w:rsidR="00D81CF0" w:rsidRPr="00D81CF0" w:rsidRDefault="00D81CF0" w:rsidP="00D81CF0">
      <w:r w:rsidRPr="00D81CF0">
        <w:t>Gestreefd wordt naar facilitering van een verantwoorde (duurzame), effectieve, doelmatige en rechtmatige bedrijfsvoering, waarover transparant wordt gecommuniceerd. Daarbij is het van belang dat de financiële huishouding en de administratieve organisatie op orde zijn en blijven. Daarom wordt ingezet op goed bestuur en goede interne dienstverlening.</w:t>
      </w:r>
    </w:p>
    <w:p w:rsidR="00D81CF0" w:rsidRPr="00D81CF0" w:rsidRDefault="00D81CF0" w:rsidP="00D81CF0">
      <w:pPr>
        <w:rPr>
          <w:b/>
        </w:rPr>
      </w:pPr>
      <w:r w:rsidRPr="00D81CF0">
        <w:rPr>
          <w:b/>
        </w:rPr>
        <w:t xml:space="preserve">Uitgangspunten van beleid </w:t>
      </w:r>
    </w:p>
    <w:p w:rsidR="00D81CF0" w:rsidRPr="00D81CF0" w:rsidRDefault="00D81CF0" w:rsidP="00D81CF0">
      <w:pPr>
        <w:numPr>
          <w:ilvl w:val="0"/>
          <w:numId w:val="28"/>
        </w:numPr>
        <w:contextualSpacing/>
        <w:rPr>
          <w:b/>
        </w:rPr>
      </w:pPr>
      <w:r w:rsidRPr="00D81CF0">
        <w:t>Dienend aan het primair proces, binnen wet- en regelgeving en de inhoudelijke kaders die door het bestuur zijn gesteld</w:t>
      </w:r>
    </w:p>
    <w:p w:rsidR="00D81CF0" w:rsidRPr="00D81CF0" w:rsidRDefault="00D81CF0" w:rsidP="00D81CF0">
      <w:pPr>
        <w:numPr>
          <w:ilvl w:val="0"/>
          <w:numId w:val="28"/>
        </w:numPr>
        <w:contextualSpacing/>
        <w:rPr>
          <w:b/>
        </w:rPr>
      </w:pPr>
      <w:r w:rsidRPr="00D81CF0">
        <w:t>Functioneren binnen financiële kaders die samenhangen met de bestuurlijk vastgestelde norm voor overhead</w:t>
      </w:r>
    </w:p>
    <w:p w:rsidR="00D81CF0" w:rsidRPr="00D81CF0" w:rsidRDefault="00D81CF0" w:rsidP="00D81CF0">
      <w:pPr>
        <w:numPr>
          <w:ilvl w:val="0"/>
          <w:numId w:val="28"/>
        </w:numPr>
        <w:contextualSpacing/>
      </w:pPr>
      <w:r w:rsidRPr="00D81CF0">
        <w:t>Functionerend binnen de door de organisatie gebruikte kwaliteitssystemen.</w:t>
      </w:r>
    </w:p>
    <w:p w:rsidR="00D81CF0" w:rsidRPr="00D81CF0" w:rsidRDefault="00D81CF0" w:rsidP="00D81CF0">
      <w:pPr>
        <w:numPr>
          <w:ilvl w:val="0"/>
          <w:numId w:val="28"/>
        </w:numPr>
        <w:contextualSpacing/>
        <w:rPr>
          <w:b/>
        </w:rPr>
      </w:pPr>
      <w:r w:rsidRPr="00D81CF0">
        <w:t>Werken op basis van informatie delen en toegankelijkheid, waarbij digitalisering −met als randvoorwaarden  een goede borging van aspecten van informatieveiligheid en privacy −actief wordt opgepakt</w:t>
      </w:r>
    </w:p>
    <w:p w:rsidR="00D81CF0" w:rsidRDefault="00D81CF0" w:rsidP="00D81CF0">
      <w:pPr>
        <w:numPr>
          <w:ilvl w:val="0"/>
          <w:numId w:val="28"/>
        </w:numPr>
        <w:contextualSpacing/>
      </w:pPr>
      <w:r w:rsidRPr="00D81CF0">
        <w:t>Duurzame bedrijfsvoering gericht op het tegengaan van verspilling van grondstoffen en energie.</w:t>
      </w:r>
    </w:p>
    <w:p w:rsidR="00D81CF0" w:rsidRPr="00D81CF0" w:rsidRDefault="00D81CF0" w:rsidP="00D81CF0">
      <w:pPr>
        <w:ind w:left="720"/>
        <w:contextualSpacing/>
      </w:pPr>
    </w:p>
    <w:p w:rsidR="00D81CF0" w:rsidRPr="00D81CF0" w:rsidRDefault="00D81CF0" w:rsidP="00D81CF0">
      <w:pPr>
        <w:rPr>
          <w:b/>
        </w:rPr>
      </w:pPr>
      <w:r w:rsidRPr="00D81CF0">
        <w:rPr>
          <w:b/>
        </w:rPr>
        <w:t>Relevante Beleidsnotities en wettelijk kader</w:t>
      </w:r>
    </w:p>
    <w:p w:rsidR="00D81CF0" w:rsidRPr="00D81CF0" w:rsidRDefault="00D81CF0" w:rsidP="00D81CF0">
      <w:pPr>
        <w:numPr>
          <w:ilvl w:val="0"/>
          <w:numId w:val="28"/>
        </w:numPr>
        <w:contextualSpacing/>
      </w:pPr>
      <w:r w:rsidRPr="00D81CF0">
        <w:t>Notitie B+V-cyclus (Directieteam, 11 okt. 2016)</w:t>
      </w:r>
      <w:r w:rsidRPr="00D81CF0">
        <w:rPr>
          <w:highlight w:val="yellow"/>
        </w:rPr>
        <w:t xml:space="preserve"> </w:t>
      </w:r>
    </w:p>
    <w:p w:rsidR="00D81CF0" w:rsidRPr="00D81CF0" w:rsidRDefault="00D81CF0" w:rsidP="00D81CF0">
      <w:pPr>
        <w:numPr>
          <w:ilvl w:val="0"/>
          <w:numId w:val="28"/>
        </w:numPr>
        <w:contextualSpacing/>
      </w:pPr>
      <w:r w:rsidRPr="00D81CF0">
        <w:t>Nota begrotings- en budgetbeheer (AB, nov.  2016)</w:t>
      </w:r>
      <w:r w:rsidRPr="00D81CF0">
        <w:rPr>
          <w:highlight w:val="yellow"/>
        </w:rPr>
        <w:t xml:space="preserve"> </w:t>
      </w:r>
    </w:p>
    <w:p w:rsidR="00D81CF0" w:rsidRPr="00D81CF0" w:rsidRDefault="00D81CF0" w:rsidP="00D81CF0">
      <w:pPr>
        <w:numPr>
          <w:ilvl w:val="0"/>
          <w:numId w:val="28"/>
        </w:numPr>
        <w:contextualSpacing/>
      </w:pPr>
      <w:r w:rsidRPr="00D81CF0">
        <w:t>Nota Efficiency 2015 -2018 (notitie bij programmabegroting 2016, DB 16 april 2015)</w:t>
      </w:r>
    </w:p>
    <w:p w:rsidR="00D81CF0" w:rsidRPr="00D81CF0" w:rsidRDefault="00D81CF0" w:rsidP="00D81CF0">
      <w:pPr>
        <w:numPr>
          <w:ilvl w:val="0"/>
          <w:numId w:val="28"/>
        </w:numPr>
        <w:contextualSpacing/>
      </w:pPr>
      <w:proofErr w:type="spellStart"/>
      <w:r w:rsidRPr="00D81CF0">
        <w:t>Treasurystatuut</w:t>
      </w:r>
      <w:proofErr w:type="spellEnd"/>
      <w:r w:rsidRPr="00D81CF0">
        <w:t xml:space="preserve"> (AB,  9 nov. 2015)</w:t>
      </w:r>
    </w:p>
    <w:p w:rsidR="00D81CF0" w:rsidRPr="00D81CF0" w:rsidRDefault="00D81CF0" w:rsidP="00D81CF0">
      <w:pPr>
        <w:numPr>
          <w:ilvl w:val="0"/>
          <w:numId w:val="28"/>
        </w:numPr>
        <w:contextualSpacing/>
      </w:pPr>
      <w:r w:rsidRPr="00D81CF0">
        <w:t>Notitie herijking reservebeleid (AB, 13 febr. 2017)</w:t>
      </w:r>
    </w:p>
    <w:p w:rsidR="00D81CF0" w:rsidRPr="00D81CF0" w:rsidRDefault="00D81CF0" w:rsidP="00D81CF0">
      <w:pPr>
        <w:numPr>
          <w:ilvl w:val="0"/>
          <w:numId w:val="28"/>
        </w:numPr>
        <w:contextualSpacing/>
      </w:pPr>
      <w:r w:rsidRPr="00D81CF0">
        <w:t>Kwaliteitsbeleid Koers op kwaliteit (DB, 2 juni 2014)</w:t>
      </w:r>
    </w:p>
    <w:p w:rsidR="00D81CF0" w:rsidRPr="00D81CF0" w:rsidRDefault="00D81CF0" w:rsidP="00D81CF0">
      <w:pPr>
        <w:numPr>
          <w:ilvl w:val="0"/>
          <w:numId w:val="28"/>
        </w:numPr>
        <w:contextualSpacing/>
      </w:pPr>
      <w:r w:rsidRPr="00D81CF0">
        <w:t xml:space="preserve">Kaders Informatiebeleid (DB, 2 okt 2015) </w:t>
      </w:r>
    </w:p>
    <w:p w:rsidR="00D81CF0" w:rsidRPr="00D81CF0" w:rsidRDefault="00D81CF0" w:rsidP="00D81CF0">
      <w:pPr>
        <w:numPr>
          <w:ilvl w:val="0"/>
          <w:numId w:val="28"/>
        </w:numPr>
        <w:contextualSpacing/>
      </w:pPr>
      <w:r w:rsidRPr="00D81CF0">
        <w:t>Plan van aanpak archief (DB,  7 sept 2015)</w:t>
      </w:r>
    </w:p>
    <w:p w:rsidR="00D81CF0" w:rsidRPr="00D81CF0" w:rsidRDefault="00D81CF0" w:rsidP="00D81CF0">
      <w:pPr>
        <w:numPr>
          <w:ilvl w:val="0"/>
          <w:numId w:val="28"/>
        </w:numPr>
        <w:contextualSpacing/>
      </w:pPr>
      <w:r w:rsidRPr="00D81CF0">
        <w:t>Privacy beleid en –regeling (AB 15 febr. 2016)</w:t>
      </w:r>
    </w:p>
    <w:p w:rsidR="00D81CF0" w:rsidRPr="00D81CF0" w:rsidRDefault="00D81CF0" w:rsidP="00D81CF0">
      <w:pPr>
        <w:numPr>
          <w:ilvl w:val="0"/>
          <w:numId w:val="28"/>
        </w:numPr>
        <w:contextualSpacing/>
      </w:pPr>
      <w:r w:rsidRPr="00D81CF0">
        <w:t>Huisvestingsvisie VRK (AB dec. 2014)</w:t>
      </w:r>
    </w:p>
    <w:p w:rsidR="00D81CF0" w:rsidRPr="00D81CF0" w:rsidRDefault="00D81CF0" w:rsidP="00D81CF0">
      <w:pPr>
        <w:numPr>
          <w:ilvl w:val="0"/>
          <w:numId w:val="28"/>
        </w:numPr>
        <w:contextualSpacing/>
      </w:pPr>
      <w:r w:rsidRPr="00D81CF0">
        <w:t>Nota Strategisch Personeelsbeleid (DB 15 sept. 2014)</w:t>
      </w:r>
    </w:p>
    <w:p w:rsidR="00D81CF0" w:rsidRDefault="00D81CF0" w:rsidP="00D81CF0">
      <w:pPr>
        <w:numPr>
          <w:ilvl w:val="0"/>
          <w:numId w:val="28"/>
        </w:numPr>
        <w:contextualSpacing/>
      </w:pPr>
      <w:r w:rsidRPr="00D81CF0">
        <w:t>Visie op communicatie (okt. 2013)</w:t>
      </w:r>
    </w:p>
    <w:p w:rsidR="00D81CF0" w:rsidRPr="00D81CF0" w:rsidRDefault="00D81CF0" w:rsidP="00D81CF0">
      <w:pPr>
        <w:ind w:left="720"/>
        <w:contextualSpacing/>
      </w:pPr>
    </w:p>
    <w:p w:rsidR="00D3300A" w:rsidRPr="00D3300A" w:rsidRDefault="00D3300A" w:rsidP="00D3300A">
      <w:pPr>
        <w:rPr>
          <w:b/>
        </w:rPr>
      </w:pPr>
      <w:r w:rsidRPr="00D3300A">
        <w:rPr>
          <w:b/>
        </w:rPr>
        <w:t>Risico’s</w:t>
      </w:r>
    </w:p>
    <w:tbl>
      <w:tblPr>
        <w:tblStyle w:val="Tabelraster13"/>
        <w:tblW w:w="0" w:type="auto"/>
        <w:tblLook w:val="04A0" w:firstRow="1" w:lastRow="0" w:firstColumn="1" w:lastColumn="0" w:noHBand="0" w:noVBand="1"/>
      </w:tblPr>
      <w:tblGrid>
        <w:gridCol w:w="3070"/>
        <w:gridCol w:w="6110"/>
      </w:tblGrid>
      <w:tr w:rsidR="00D3300A" w:rsidRPr="00D3300A" w:rsidTr="001434D1">
        <w:tc>
          <w:tcPr>
            <w:tcW w:w="3070" w:type="dxa"/>
            <w:shd w:val="clear" w:color="auto" w:fill="C6D9F1" w:themeFill="text2" w:themeFillTint="33"/>
          </w:tcPr>
          <w:p w:rsidR="00D3300A" w:rsidRPr="00D3300A" w:rsidRDefault="00D3300A" w:rsidP="00D3300A">
            <w:r w:rsidRPr="00D3300A">
              <w:t>Risico</w:t>
            </w:r>
          </w:p>
        </w:tc>
        <w:tc>
          <w:tcPr>
            <w:tcW w:w="6110" w:type="dxa"/>
            <w:shd w:val="clear" w:color="auto" w:fill="C6D9F1" w:themeFill="text2" w:themeFillTint="33"/>
          </w:tcPr>
          <w:p w:rsidR="00D3300A" w:rsidRPr="00D3300A" w:rsidRDefault="00D3300A" w:rsidP="00D3300A">
            <w:r w:rsidRPr="00D3300A">
              <w:t>Beheersmaatregel</w:t>
            </w:r>
          </w:p>
        </w:tc>
      </w:tr>
      <w:tr w:rsidR="00D3300A" w:rsidRPr="00D3300A" w:rsidTr="001434D1">
        <w:tc>
          <w:tcPr>
            <w:tcW w:w="3070" w:type="dxa"/>
          </w:tcPr>
          <w:p w:rsidR="00D3300A" w:rsidRPr="00D3300A" w:rsidRDefault="00D3300A" w:rsidP="00D3300A">
            <w:r w:rsidRPr="00D3300A">
              <w:t>Wegvallende inkomsten: ontvlechting, teruglopende subsidies e.d.</w:t>
            </w:r>
          </w:p>
        </w:tc>
        <w:tc>
          <w:tcPr>
            <w:tcW w:w="6110" w:type="dxa"/>
          </w:tcPr>
          <w:p w:rsidR="00D3300A" w:rsidRPr="00D3300A" w:rsidRDefault="00D3300A" w:rsidP="00D3300A">
            <w:r w:rsidRPr="00D3300A">
              <w:t>Op basis van visie- en beleidsontwikkeling zal gekomen worden tot de koers die de organisatie wil varen in de veranderende omgeving.</w:t>
            </w:r>
          </w:p>
        </w:tc>
      </w:tr>
      <w:tr w:rsidR="00D3300A" w:rsidRPr="00D3300A" w:rsidTr="001434D1">
        <w:tc>
          <w:tcPr>
            <w:tcW w:w="3070" w:type="dxa"/>
          </w:tcPr>
          <w:p w:rsidR="00D3300A" w:rsidRPr="00D3300A" w:rsidRDefault="00D3300A" w:rsidP="00D3300A">
            <w:r w:rsidRPr="00D3300A">
              <w:t>Bijzondere personele lasten: FLO/ 2</w:t>
            </w:r>
            <w:r w:rsidRPr="00D3300A">
              <w:rPr>
                <w:vertAlign w:val="superscript"/>
              </w:rPr>
              <w:t>e</w:t>
            </w:r>
            <w:r w:rsidRPr="00D3300A">
              <w:t xml:space="preserve"> loopbaan, externe loopbaanbegeleiding, ziekte, afvloeiing</w:t>
            </w:r>
          </w:p>
        </w:tc>
        <w:tc>
          <w:tcPr>
            <w:tcW w:w="6110" w:type="dxa"/>
          </w:tcPr>
          <w:p w:rsidR="00D3300A" w:rsidRPr="00D3300A" w:rsidRDefault="00D3300A" w:rsidP="00D3300A">
            <w:r w:rsidRPr="00D3300A">
              <w:t>Volgen onderhandelingen over een nieuw FLO-overgangsrecht.</w:t>
            </w:r>
          </w:p>
          <w:p w:rsidR="00D3300A" w:rsidRPr="00D3300A" w:rsidRDefault="00D3300A" w:rsidP="003579E2">
            <w:r w:rsidRPr="00D3300A">
              <w:rPr>
                <w:lang w:eastAsia="nl-NL"/>
              </w:rPr>
              <w:t>Voor externe loopbaanbegeleiding</w:t>
            </w:r>
            <w:r w:rsidR="005615F6">
              <w:rPr>
                <w:lang w:eastAsia="nl-NL"/>
              </w:rPr>
              <w:t xml:space="preserve"> </w:t>
            </w:r>
            <w:r w:rsidRPr="00D3300A">
              <w:rPr>
                <w:lang w:eastAsia="nl-NL"/>
              </w:rPr>
              <w:t>is geen voorziening in de begroting aanwezig</w:t>
            </w:r>
            <w:r w:rsidR="003579E2">
              <w:rPr>
                <w:lang w:eastAsia="nl-NL"/>
              </w:rPr>
              <w:t xml:space="preserve">;  </w:t>
            </w:r>
            <w:r w:rsidRPr="00D3300A">
              <w:rPr>
                <w:lang w:eastAsia="nl-NL"/>
              </w:rPr>
              <w:t xml:space="preserve">deze lasten </w:t>
            </w:r>
            <w:r w:rsidR="003579E2">
              <w:rPr>
                <w:lang w:eastAsia="nl-NL"/>
              </w:rPr>
              <w:t xml:space="preserve">worden </w:t>
            </w:r>
            <w:r w:rsidRPr="00D3300A">
              <w:rPr>
                <w:lang w:eastAsia="nl-NL"/>
              </w:rPr>
              <w:t>jaarlijks als incidentele lasten in de jaarrekening verantwoord.</w:t>
            </w:r>
          </w:p>
        </w:tc>
      </w:tr>
      <w:tr w:rsidR="00D3300A" w:rsidRPr="00D3300A" w:rsidTr="001434D1">
        <w:tc>
          <w:tcPr>
            <w:tcW w:w="3070" w:type="dxa"/>
          </w:tcPr>
          <w:p w:rsidR="00D3300A" w:rsidRPr="00D3300A" w:rsidRDefault="00D3300A" w:rsidP="00D3300A">
            <w:r w:rsidRPr="00D3300A">
              <w:lastRenderedPageBreak/>
              <w:t>Claims vanwege onrechtmatig</w:t>
            </w:r>
            <w:r w:rsidR="005615F6">
              <w:t xml:space="preserve"> </w:t>
            </w:r>
            <w:r w:rsidRPr="00D3300A">
              <w:t>aanbesteden</w:t>
            </w:r>
          </w:p>
        </w:tc>
        <w:tc>
          <w:tcPr>
            <w:tcW w:w="6110" w:type="dxa"/>
          </w:tcPr>
          <w:p w:rsidR="00D3300A" w:rsidRPr="00D3300A" w:rsidRDefault="00D3300A" w:rsidP="00D3300A">
            <w:r w:rsidRPr="00D3300A">
              <w:rPr>
                <w:lang w:eastAsia="nl-NL"/>
              </w:rPr>
              <w:t xml:space="preserve">Voldoende aandacht behouden voor inkoop, door de professie organisatorisch goed te verankeren, wijzigingen in regelgeving goed te volgen en bij klachten gebruik te maken van een objectieve extern verankerde klachtenregeling. </w:t>
            </w:r>
          </w:p>
        </w:tc>
      </w:tr>
      <w:tr w:rsidR="00D3300A" w:rsidRPr="00D3300A" w:rsidTr="001434D1">
        <w:tc>
          <w:tcPr>
            <w:tcW w:w="3070" w:type="dxa"/>
          </w:tcPr>
          <w:p w:rsidR="00D3300A" w:rsidRPr="00D3300A" w:rsidRDefault="00D3300A" w:rsidP="00D3300A">
            <w:r w:rsidRPr="00D3300A">
              <w:t>Lekken van gevoelige (</w:t>
            </w:r>
            <w:proofErr w:type="spellStart"/>
            <w:r w:rsidRPr="00D3300A">
              <w:t>persoons</w:t>
            </w:r>
            <w:proofErr w:type="spellEnd"/>
            <w:r w:rsidRPr="00D3300A">
              <w:t>)informatie</w:t>
            </w:r>
          </w:p>
        </w:tc>
        <w:tc>
          <w:tcPr>
            <w:tcW w:w="6110" w:type="dxa"/>
          </w:tcPr>
          <w:p w:rsidR="00D3300A" w:rsidRPr="00D3300A" w:rsidRDefault="00D3300A" w:rsidP="00FB727F">
            <w:pPr>
              <w:numPr>
                <w:ilvl w:val="0"/>
                <w:numId w:val="20"/>
              </w:numPr>
            </w:pPr>
            <w:r w:rsidRPr="00D3300A">
              <w:t xml:space="preserve">Implementeren van privacy beleid, het </w:t>
            </w:r>
            <w:r w:rsidR="00374B3A" w:rsidRPr="00D3300A">
              <w:t>opstellen</w:t>
            </w:r>
            <w:r w:rsidRPr="00D3300A">
              <w:t xml:space="preserve"> van een register en het melden bij de Autoriteit Persoonsgegevens</w:t>
            </w:r>
            <w:r w:rsidRPr="00D3300A" w:rsidDel="00541006">
              <w:t xml:space="preserve"> </w:t>
            </w:r>
            <w:r w:rsidRPr="00D3300A">
              <w:t>Medewerkers regelmatig op een actieve manier bewust maken van</w:t>
            </w:r>
            <w:r w:rsidR="005615F6">
              <w:t xml:space="preserve"> </w:t>
            </w:r>
            <w:r w:rsidRPr="00D3300A">
              <w:t xml:space="preserve">de do’s en </w:t>
            </w:r>
            <w:proofErr w:type="spellStart"/>
            <w:r w:rsidRPr="00D3300A">
              <w:t>dont’s</w:t>
            </w:r>
            <w:proofErr w:type="spellEnd"/>
            <w:r w:rsidRPr="00D3300A">
              <w:t xml:space="preserve"> van het werken met persoonsinformatie</w:t>
            </w:r>
          </w:p>
          <w:p w:rsidR="00D3300A" w:rsidRPr="00D3300A" w:rsidRDefault="00D3300A" w:rsidP="00FB727F">
            <w:pPr>
              <w:numPr>
                <w:ilvl w:val="0"/>
                <w:numId w:val="20"/>
              </w:numPr>
            </w:pPr>
            <w:r w:rsidRPr="00D3300A">
              <w:t xml:space="preserve">Een beleidsplan informatieveiligheid vaststellen binnen de landelijke norm voor </w:t>
            </w:r>
            <w:proofErr w:type="spellStart"/>
            <w:r w:rsidRPr="00D3300A">
              <w:t>VR’s</w:t>
            </w:r>
            <w:proofErr w:type="spellEnd"/>
            <w:r w:rsidRPr="00D3300A">
              <w:t xml:space="preserve"> (Baseline Informatieveiligheid Gemeenten en NEN 7510);</w:t>
            </w:r>
          </w:p>
          <w:p w:rsidR="00D3300A" w:rsidRPr="00D3300A" w:rsidRDefault="00D3300A" w:rsidP="00FB727F">
            <w:pPr>
              <w:numPr>
                <w:ilvl w:val="0"/>
                <w:numId w:val="20"/>
              </w:numPr>
            </w:pPr>
            <w:r w:rsidRPr="00D3300A">
              <w:t>Focus houden op het melden van incidenten met lekken van persoonsgegevens volgens de Wet op de datalekken.</w:t>
            </w:r>
          </w:p>
        </w:tc>
      </w:tr>
      <w:tr w:rsidR="00D3300A" w:rsidRPr="00D3300A" w:rsidTr="001434D1">
        <w:tc>
          <w:tcPr>
            <w:tcW w:w="3070" w:type="dxa"/>
          </w:tcPr>
          <w:p w:rsidR="00D3300A" w:rsidRPr="00D3300A" w:rsidRDefault="00D3300A" w:rsidP="00D3300A">
            <w:r w:rsidRPr="00D3300A">
              <w:t>Uitval ICT en elektriciteit: grote gevolgen voor m.n. de crisisorganisatie</w:t>
            </w:r>
          </w:p>
        </w:tc>
        <w:tc>
          <w:tcPr>
            <w:tcW w:w="6110" w:type="dxa"/>
          </w:tcPr>
          <w:p w:rsidR="00D3300A" w:rsidRPr="00D3300A" w:rsidRDefault="00D3300A" w:rsidP="00D3300A">
            <w:pPr>
              <w:rPr>
                <w:b/>
              </w:rPr>
            </w:pPr>
            <w:r w:rsidRPr="00D3300A">
              <w:t>Uitvoering geven aan beheersmaatregelen uit continuïteitsplan VRK.</w:t>
            </w:r>
          </w:p>
          <w:p w:rsidR="00D3300A" w:rsidRPr="00D3300A" w:rsidRDefault="00D3300A" w:rsidP="00D3300A"/>
        </w:tc>
      </w:tr>
    </w:tbl>
    <w:p w:rsidR="00C15AA6" w:rsidRDefault="00C15AA6" w:rsidP="00C15AA6">
      <w:pPr>
        <w:rPr>
          <w:b/>
        </w:rPr>
      </w:pPr>
    </w:p>
    <w:p w:rsidR="00C15AA6" w:rsidRPr="003542F3" w:rsidRDefault="00C15AA6" w:rsidP="00C15AA6">
      <w:pPr>
        <w:rPr>
          <w:b/>
        </w:rPr>
        <w:sectPr w:rsidR="00C15AA6" w:rsidRPr="003542F3" w:rsidSect="001B4283">
          <w:pgSz w:w="11906" w:h="16838"/>
          <w:pgMar w:top="1417" w:right="1417" w:bottom="1417" w:left="1417" w:header="708" w:footer="708" w:gutter="0"/>
          <w:cols w:space="708"/>
          <w:docGrid w:linePitch="360"/>
        </w:sectPr>
      </w:pPr>
    </w:p>
    <w:p w:rsidR="00C15AA6" w:rsidRPr="003542F3" w:rsidRDefault="00C15AA6" w:rsidP="00C15AA6">
      <w:pPr>
        <w:rPr>
          <w:b/>
        </w:rPr>
      </w:pPr>
      <w:r w:rsidRPr="003542F3">
        <w:rPr>
          <w:b/>
        </w:rPr>
        <w:lastRenderedPageBreak/>
        <w:t>Doelenboom</w:t>
      </w:r>
    </w:p>
    <w:tbl>
      <w:tblPr>
        <w:tblStyle w:val="Tabelraster6"/>
        <w:tblW w:w="14709" w:type="dxa"/>
        <w:tblLook w:val="04A0" w:firstRow="1" w:lastRow="0" w:firstColumn="1" w:lastColumn="0" w:noHBand="0" w:noVBand="1"/>
      </w:tblPr>
      <w:tblGrid>
        <w:gridCol w:w="2346"/>
        <w:gridCol w:w="2959"/>
        <w:gridCol w:w="6710"/>
        <w:gridCol w:w="2694"/>
      </w:tblGrid>
      <w:tr w:rsidR="0067573F" w:rsidRPr="004115E3" w:rsidTr="001434D1">
        <w:tc>
          <w:tcPr>
            <w:tcW w:w="5305" w:type="dxa"/>
            <w:gridSpan w:val="2"/>
          </w:tcPr>
          <w:p w:rsidR="0067573F" w:rsidRPr="004115E3" w:rsidRDefault="0067573F" w:rsidP="001434D1">
            <w:pPr>
              <w:rPr>
                <w:i/>
              </w:rPr>
            </w:pPr>
            <w:r w:rsidRPr="004115E3">
              <w:rPr>
                <w:i/>
              </w:rPr>
              <w:t>Wat willen we bereiken</w:t>
            </w:r>
          </w:p>
        </w:tc>
        <w:tc>
          <w:tcPr>
            <w:tcW w:w="6710" w:type="dxa"/>
          </w:tcPr>
          <w:p w:rsidR="0067573F" w:rsidRPr="004115E3" w:rsidRDefault="0067573F" w:rsidP="001434D1">
            <w:pPr>
              <w:rPr>
                <w:i/>
              </w:rPr>
            </w:pPr>
            <w:r w:rsidRPr="004115E3">
              <w:rPr>
                <w:i/>
              </w:rPr>
              <w:t>Wat gaan we er voor doen</w:t>
            </w:r>
          </w:p>
        </w:tc>
        <w:tc>
          <w:tcPr>
            <w:tcW w:w="2694" w:type="dxa"/>
            <w:vMerge w:val="restart"/>
          </w:tcPr>
          <w:p w:rsidR="0067573F" w:rsidRPr="004115E3" w:rsidRDefault="0067573F" w:rsidP="001434D1">
            <w:pPr>
              <w:rPr>
                <w:i/>
              </w:rPr>
            </w:pPr>
            <w:r w:rsidRPr="004115E3">
              <w:rPr>
                <w:i/>
              </w:rPr>
              <w:t>Wat is het beoogd maatschappelijk effect</w:t>
            </w:r>
          </w:p>
        </w:tc>
      </w:tr>
      <w:tr w:rsidR="0067573F" w:rsidRPr="004115E3" w:rsidTr="001434D1">
        <w:tc>
          <w:tcPr>
            <w:tcW w:w="2346" w:type="dxa"/>
          </w:tcPr>
          <w:p w:rsidR="0067573F" w:rsidRPr="004115E3" w:rsidRDefault="0067573F" w:rsidP="001434D1">
            <w:r w:rsidRPr="004115E3">
              <w:t>Strategisch doel</w:t>
            </w:r>
          </w:p>
        </w:tc>
        <w:tc>
          <w:tcPr>
            <w:tcW w:w="2959" w:type="dxa"/>
          </w:tcPr>
          <w:p w:rsidR="0067573F" w:rsidRPr="004115E3" w:rsidRDefault="0067573F" w:rsidP="001434D1">
            <w:r w:rsidRPr="004115E3">
              <w:t>Operationeel doel</w:t>
            </w:r>
          </w:p>
        </w:tc>
        <w:tc>
          <w:tcPr>
            <w:tcW w:w="6710" w:type="dxa"/>
          </w:tcPr>
          <w:p w:rsidR="0067573F" w:rsidRPr="004115E3" w:rsidRDefault="0067573F" w:rsidP="001434D1">
            <w:r w:rsidRPr="004115E3">
              <w:t>Prestatie 201</w:t>
            </w:r>
            <w:r>
              <w:t>8</w:t>
            </w:r>
            <w:r w:rsidRPr="004115E3">
              <w:t>-202</w:t>
            </w:r>
            <w:r>
              <w:t>1</w:t>
            </w:r>
          </w:p>
        </w:tc>
        <w:tc>
          <w:tcPr>
            <w:tcW w:w="2694" w:type="dxa"/>
            <w:vMerge/>
          </w:tcPr>
          <w:p w:rsidR="0067573F" w:rsidRPr="004115E3" w:rsidRDefault="0067573F" w:rsidP="001434D1"/>
        </w:tc>
      </w:tr>
      <w:tr w:rsidR="0067573F" w:rsidRPr="004115E3" w:rsidTr="001434D1">
        <w:tc>
          <w:tcPr>
            <w:tcW w:w="14709" w:type="dxa"/>
            <w:gridSpan w:val="4"/>
            <w:shd w:val="clear" w:color="auto" w:fill="C6D9F1" w:themeFill="text2" w:themeFillTint="33"/>
          </w:tcPr>
          <w:p w:rsidR="0067573F" w:rsidRPr="004115E3" w:rsidRDefault="0067573F" w:rsidP="001434D1"/>
        </w:tc>
      </w:tr>
      <w:tr w:rsidR="0067573F" w:rsidRPr="004115E3" w:rsidTr="001434D1">
        <w:tc>
          <w:tcPr>
            <w:tcW w:w="2346" w:type="dxa"/>
            <w:vMerge w:val="restart"/>
          </w:tcPr>
          <w:p w:rsidR="0067573F" w:rsidRPr="004115E3" w:rsidRDefault="0067573F" w:rsidP="001434D1">
            <w:r w:rsidRPr="004115E3">
              <w:t>Doelmatige</w:t>
            </w:r>
            <w:r>
              <w:t>,</w:t>
            </w:r>
            <w:r w:rsidRPr="004115E3">
              <w:t xml:space="preserve"> doeltreffende </w:t>
            </w:r>
            <w:r>
              <w:t xml:space="preserve">en verantwoorde </w:t>
            </w:r>
            <w:r w:rsidRPr="004115E3">
              <w:t>organisatie</w:t>
            </w:r>
          </w:p>
        </w:tc>
        <w:tc>
          <w:tcPr>
            <w:tcW w:w="2959" w:type="dxa"/>
          </w:tcPr>
          <w:p w:rsidR="0067573F" w:rsidRPr="004115E3" w:rsidRDefault="0067573F" w:rsidP="001434D1">
            <w:r>
              <w:t>Stroomlijnen en digitaliseren registratieve en administratieve processen voor betere en snellere informatievoorziening</w:t>
            </w:r>
          </w:p>
        </w:tc>
        <w:tc>
          <w:tcPr>
            <w:tcW w:w="6710" w:type="dxa"/>
          </w:tcPr>
          <w:p w:rsidR="0067573F" w:rsidRPr="004115E3" w:rsidRDefault="0067573F" w:rsidP="00FB727F">
            <w:pPr>
              <w:numPr>
                <w:ilvl w:val="0"/>
                <w:numId w:val="32"/>
              </w:numPr>
            </w:pPr>
            <w:r>
              <w:t>T</w:t>
            </w:r>
            <w:r w:rsidRPr="004115E3">
              <w:t xml:space="preserve">erugdringen overbodige interne regels en het vereenvoudigen en digitaliseren van processtappen en procedures </w:t>
            </w:r>
          </w:p>
          <w:p w:rsidR="00067229" w:rsidRPr="004115E3" w:rsidRDefault="00067229" w:rsidP="00FB727F">
            <w:pPr>
              <w:numPr>
                <w:ilvl w:val="0"/>
                <w:numId w:val="32"/>
              </w:numPr>
            </w:pPr>
            <w:r>
              <w:t>Terugbrengen formatie administratie a</w:t>
            </w:r>
            <w:r w:rsidR="00665558">
              <w:t>ls gevolg van</w:t>
            </w:r>
            <w:r>
              <w:t xml:space="preserve"> digitalisering</w:t>
            </w:r>
          </w:p>
          <w:p w:rsidR="0067573F" w:rsidRPr="004115E3" w:rsidRDefault="0067573F" w:rsidP="00FB727F">
            <w:pPr>
              <w:numPr>
                <w:ilvl w:val="0"/>
                <w:numId w:val="32"/>
              </w:numPr>
            </w:pPr>
            <w:r w:rsidRPr="0044571A">
              <w:t>Invoering zaakgericht werken als informatie ordeningsprincipe</w:t>
            </w:r>
          </w:p>
        </w:tc>
        <w:tc>
          <w:tcPr>
            <w:tcW w:w="2694" w:type="dxa"/>
            <w:vMerge w:val="restart"/>
          </w:tcPr>
          <w:p w:rsidR="0067573F" w:rsidRPr="004115E3" w:rsidRDefault="0067573F" w:rsidP="001434D1">
            <w:r w:rsidRPr="004115E3">
              <w:t xml:space="preserve">Betaalbare overheid met </w:t>
            </w:r>
            <w:r>
              <w:t xml:space="preserve">een verantwoorde bedrijfsvoering en </w:t>
            </w:r>
            <w:r w:rsidRPr="004115E3">
              <w:t>gewenste dienstverlening op adequaat niveau</w:t>
            </w:r>
          </w:p>
        </w:tc>
      </w:tr>
      <w:tr w:rsidR="0067573F" w:rsidRPr="004115E3" w:rsidTr="001434D1">
        <w:trPr>
          <w:trHeight w:val="816"/>
        </w:trPr>
        <w:tc>
          <w:tcPr>
            <w:tcW w:w="2346" w:type="dxa"/>
            <w:vMerge/>
          </w:tcPr>
          <w:p w:rsidR="0067573F" w:rsidRPr="004115E3" w:rsidRDefault="0067573F" w:rsidP="001434D1"/>
        </w:tc>
        <w:tc>
          <w:tcPr>
            <w:tcW w:w="2959" w:type="dxa"/>
          </w:tcPr>
          <w:p w:rsidR="0067573F" w:rsidRPr="004115E3" w:rsidRDefault="0067573F" w:rsidP="001434D1">
            <w:r w:rsidRPr="004115E3">
              <w:t>Meer voor minder</w:t>
            </w:r>
          </w:p>
        </w:tc>
        <w:tc>
          <w:tcPr>
            <w:tcW w:w="6710" w:type="dxa"/>
          </w:tcPr>
          <w:p w:rsidR="0067573F" w:rsidRPr="004115E3" w:rsidRDefault="0067573F" w:rsidP="00FB727F">
            <w:pPr>
              <w:numPr>
                <w:ilvl w:val="0"/>
                <w:numId w:val="33"/>
              </w:numPr>
            </w:pPr>
            <w:r w:rsidRPr="004115E3">
              <w:t>Realiseren inkoopvoordelen</w:t>
            </w:r>
          </w:p>
          <w:p w:rsidR="0067573F" w:rsidRPr="004115E3" w:rsidRDefault="0067573F" w:rsidP="00FB727F">
            <w:pPr>
              <w:numPr>
                <w:ilvl w:val="0"/>
                <w:numId w:val="33"/>
              </w:numPr>
            </w:pPr>
            <w:r w:rsidRPr="004115E3">
              <w:t>Doelmatig beheren en gebruiken van alle gebouwen die de VRK gebruikt (o.a. huisvesting LMO)</w:t>
            </w:r>
            <w:r w:rsidR="005615F6">
              <w:t xml:space="preserve"> </w:t>
            </w:r>
          </w:p>
        </w:tc>
        <w:tc>
          <w:tcPr>
            <w:tcW w:w="2694" w:type="dxa"/>
            <w:vMerge/>
          </w:tcPr>
          <w:p w:rsidR="0067573F" w:rsidRPr="004115E3" w:rsidRDefault="0067573F" w:rsidP="001434D1"/>
        </w:tc>
      </w:tr>
      <w:tr w:rsidR="0067573F" w:rsidRPr="004115E3" w:rsidTr="001434D1">
        <w:trPr>
          <w:trHeight w:val="816"/>
        </w:trPr>
        <w:tc>
          <w:tcPr>
            <w:tcW w:w="2346" w:type="dxa"/>
            <w:vMerge/>
          </w:tcPr>
          <w:p w:rsidR="0067573F" w:rsidRPr="004115E3" w:rsidRDefault="0067573F" w:rsidP="001434D1"/>
        </w:tc>
        <w:tc>
          <w:tcPr>
            <w:tcW w:w="2959" w:type="dxa"/>
          </w:tcPr>
          <w:p w:rsidR="0067573F" w:rsidRPr="004115E3" w:rsidRDefault="0067573F" w:rsidP="001434D1">
            <w:r>
              <w:t xml:space="preserve">Duurzaam ondernemen </w:t>
            </w:r>
          </w:p>
        </w:tc>
        <w:tc>
          <w:tcPr>
            <w:tcW w:w="6710" w:type="dxa"/>
          </w:tcPr>
          <w:p w:rsidR="0067573F" w:rsidRDefault="0067573F" w:rsidP="00FB727F">
            <w:pPr>
              <w:numPr>
                <w:ilvl w:val="0"/>
                <w:numId w:val="33"/>
              </w:numPr>
            </w:pPr>
            <w:r>
              <w:t>Voorkomen van verspilling van grondstoffen en energie</w:t>
            </w:r>
          </w:p>
          <w:p w:rsidR="0067573F" w:rsidRDefault="0067573F" w:rsidP="00FB727F">
            <w:pPr>
              <w:numPr>
                <w:ilvl w:val="0"/>
                <w:numId w:val="33"/>
              </w:numPr>
            </w:pPr>
            <w:r>
              <w:t>Verduurzaming van het wagenpark</w:t>
            </w:r>
          </w:p>
          <w:p w:rsidR="0067573F" w:rsidRPr="004115E3" w:rsidRDefault="0067573F" w:rsidP="00FB727F">
            <w:pPr>
              <w:numPr>
                <w:ilvl w:val="0"/>
                <w:numId w:val="33"/>
              </w:numPr>
            </w:pPr>
            <w:r>
              <w:t>Gebruik van duurzame en verantwoorde materialen</w:t>
            </w:r>
          </w:p>
        </w:tc>
        <w:tc>
          <w:tcPr>
            <w:tcW w:w="2694" w:type="dxa"/>
            <w:vMerge/>
          </w:tcPr>
          <w:p w:rsidR="0067573F" w:rsidRPr="004115E3" w:rsidRDefault="0067573F" w:rsidP="001434D1"/>
        </w:tc>
      </w:tr>
      <w:tr w:rsidR="0067573F" w:rsidRPr="004115E3" w:rsidTr="001434D1">
        <w:tc>
          <w:tcPr>
            <w:tcW w:w="14709" w:type="dxa"/>
            <w:gridSpan w:val="4"/>
            <w:shd w:val="clear" w:color="auto" w:fill="C6D9F1" w:themeFill="text2" w:themeFillTint="33"/>
          </w:tcPr>
          <w:p w:rsidR="0067573F" w:rsidRPr="004115E3" w:rsidRDefault="0067573F" w:rsidP="001434D1">
            <w:pPr>
              <w:rPr>
                <w:color w:val="365F91" w:themeColor="accent1" w:themeShade="BF"/>
              </w:rPr>
            </w:pPr>
          </w:p>
        </w:tc>
      </w:tr>
      <w:tr w:rsidR="0067573F" w:rsidRPr="004115E3" w:rsidTr="001434D1">
        <w:tc>
          <w:tcPr>
            <w:tcW w:w="2346" w:type="dxa"/>
            <w:vMerge w:val="restart"/>
          </w:tcPr>
          <w:p w:rsidR="0067573F" w:rsidRPr="004115E3" w:rsidRDefault="0067573F" w:rsidP="001434D1">
            <w:pPr>
              <w:rPr>
                <w:color w:val="632423" w:themeColor="accent2" w:themeShade="80"/>
              </w:rPr>
            </w:pPr>
            <w:r w:rsidRPr="004115E3">
              <w:t>Gezonde financiële huishouding</w:t>
            </w:r>
          </w:p>
        </w:tc>
        <w:tc>
          <w:tcPr>
            <w:tcW w:w="2959" w:type="dxa"/>
          </w:tcPr>
          <w:p w:rsidR="0067573F" w:rsidRPr="004115E3" w:rsidRDefault="0067573F" w:rsidP="001434D1">
            <w:r w:rsidRPr="004115E3">
              <w:t>Adequaat budgetteren en transparant verantwoorden</w:t>
            </w:r>
          </w:p>
        </w:tc>
        <w:tc>
          <w:tcPr>
            <w:tcW w:w="6710" w:type="dxa"/>
          </w:tcPr>
          <w:p w:rsidR="0067573F" w:rsidRPr="004115E3" w:rsidRDefault="0067573F" w:rsidP="00FB727F">
            <w:pPr>
              <w:numPr>
                <w:ilvl w:val="0"/>
                <w:numId w:val="34"/>
              </w:numPr>
            </w:pPr>
            <w:r w:rsidRPr="004115E3">
              <w:t xml:space="preserve">Optimaal inzetten van beschikbare gelden voor het realiseren van de doelen van de organisatie. </w:t>
            </w:r>
          </w:p>
          <w:p w:rsidR="0067573F" w:rsidRPr="004115E3" w:rsidRDefault="0067573F" w:rsidP="00FB727F">
            <w:pPr>
              <w:numPr>
                <w:ilvl w:val="0"/>
                <w:numId w:val="34"/>
              </w:numPr>
              <w:rPr>
                <w:color w:val="632423" w:themeColor="accent2" w:themeShade="80"/>
              </w:rPr>
            </w:pPr>
            <w:r w:rsidRPr="004115E3">
              <w:t>Transparant verantwoorden over bestedingen</w:t>
            </w:r>
          </w:p>
        </w:tc>
        <w:tc>
          <w:tcPr>
            <w:tcW w:w="2694" w:type="dxa"/>
            <w:vMerge w:val="restart"/>
          </w:tcPr>
          <w:p w:rsidR="0067573F" w:rsidRPr="004115E3" w:rsidRDefault="0067573F" w:rsidP="001434D1">
            <w:pPr>
              <w:rPr>
                <w:color w:val="632423" w:themeColor="accent2" w:themeShade="80"/>
              </w:rPr>
            </w:pPr>
            <w:r w:rsidRPr="004115E3">
              <w:t>Verantwoorde besteding van gemeenschapsgeld</w:t>
            </w:r>
          </w:p>
        </w:tc>
      </w:tr>
      <w:tr w:rsidR="0067573F" w:rsidRPr="004115E3" w:rsidTr="001434D1">
        <w:tc>
          <w:tcPr>
            <w:tcW w:w="2346" w:type="dxa"/>
            <w:vMerge/>
            <w:tcBorders>
              <w:bottom w:val="single" w:sz="4" w:space="0" w:color="auto"/>
            </w:tcBorders>
          </w:tcPr>
          <w:p w:rsidR="0067573F" w:rsidRPr="004115E3" w:rsidRDefault="0067573F" w:rsidP="001434D1">
            <w:pPr>
              <w:rPr>
                <w:color w:val="632423" w:themeColor="accent2" w:themeShade="80"/>
              </w:rPr>
            </w:pPr>
          </w:p>
        </w:tc>
        <w:tc>
          <w:tcPr>
            <w:tcW w:w="2959" w:type="dxa"/>
            <w:tcBorders>
              <w:bottom w:val="single" w:sz="4" w:space="0" w:color="auto"/>
            </w:tcBorders>
          </w:tcPr>
          <w:p w:rsidR="0067573F" w:rsidRPr="004115E3" w:rsidRDefault="0067573F" w:rsidP="001434D1">
            <w:r w:rsidRPr="004115E3">
              <w:t>Realiseren van voldoende financiële weerstand</w:t>
            </w:r>
          </w:p>
        </w:tc>
        <w:tc>
          <w:tcPr>
            <w:tcW w:w="6710" w:type="dxa"/>
            <w:tcBorders>
              <w:bottom w:val="single" w:sz="4" w:space="0" w:color="auto"/>
            </w:tcBorders>
          </w:tcPr>
          <w:p w:rsidR="0067573F" w:rsidRPr="004115E3" w:rsidRDefault="0067573F" w:rsidP="001434D1">
            <w:r w:rsidRPr="004115E3">
              <w:t>Jaarlijks actualiseren van het risicoprofiel in relatie tot het vastgestelde reservebeleid</w:t>
            </w:r>
          </w:p>
        </w:tc>
        <w:tc>
          <w:tcPr>
            <w:tcW w:w="2694" w:type="dxa"/>
            <w:vMerge/>
            <w:tcBorders>
              <w:bottom w:val="single" w:sz="4" w:space="0" w:color="auto"/>
            </w:tcBorders>
          </w:tcPr>
          <w:p w:rsidR="0067573F" w:rsidRPr="004115E3" w:rsidRDefault="0067573F" w:rsidP="001434D1">
            <w:pPr>
              <w:rPr>
                <w:color w:val="632423" w:themeColor="accent2" w:themeShade="80"/>
              </w:rPr>
            </w:pPr>
          </w:p>
        </w:tc>
      </w:tr>
      <w:tr w:rsidR="0067573F" w:rsidRPr="004115E3" w:rsidTr="001434D1">
        <w:tc>
          <w:tcPr>
            <w:tcW w:w="14709" w:type="dxa"/>
            <w:gridSpan w:val="4"/>
            <w:shd w:val="clear" w:color="auto" w:fill="C6D9F1" w:themeFill="text2" w:themeFillTint="33"/>
          </w:tcPr>
          <w:p w:rsidR="0067573F" w:rsidRPr="004115E3" w:rsidRDefault="0067573F" w:rsidP="001434D1">
            <w:pPr>
              <w:rPr>
                <w:color w:val="632423" w:themeColor="accent2" w:themeShade="80"/>
              </w:rPr>
            </w:pPr>
          </w:p>
        </w:tc>
      </w:tr>
      <w:tr w:rsidR="0067573F" w:rsidRPr="004115E3" w:rsidTr="001434D1">
        <w:tc>
          <w:tcPr>
            <w:tcW w:w="2346" w:type="dxa"/>
            <w:vMerge w:val="restart"/>
          </w:tcPr>
          <w:p w:rsidR="0067573F" w:rsidRPr="004115E3" w:rsidRDefault="0067573F" w:rsidP="001434D1">
            <w:r w:rsidRPr="004115E3">
              <w:t>Kwaliteit van de externe (bestuurlijke)informatie en communicatie verhogen</w:t>
            </w:r>
          </w:p>
        </w:tc>
        <w:tc>
          <w:tcPr>
            <w:tcW w:w="2959" w:type="dxa"/>
          </w:tcPr>
          <w:p w:rsidR="0067573F" w:rsidRPr="004115E3" w:rsidRDefault="0067573F" w:rsidP="001434D1">
            <w:r w:rsidRPr="004115E3">
              <w:t>Voldoen aan de archiefwetgeving voor digitalisering</w:t>
            </w:r>
          </w:p>
        </w:tc>
        <w:tc>
          <w:tcPr>
            <w:tcW w:w="6710" w:type="dxa"/>
          </w:tcPr>
          <w:p w:rsidR="0067573F" w:rsidRPr="004115E3" w:rsidRDefault="0067573F" w:rsidP="00FB727F">
            <w:pPr>
              <w:numPr>
                <w:ilvl w:val="0"/>
                <w:numId w:val="29"/>
              </w:numPr>
            </w:pPr>
            <w:r>
              <w:t xml:space="preserve">Afronding vernieuwing </w:t>
            </w:r>
            <w:r w:rsidRPr="004115E3">
              <w:t>Document Management Systeem en herinrichting digitaal archief.</w:t>
            </w:r>
          </w:p>
          <w:p w:rsidR="0067573F" w:rsidRPr="004115E3" w:rsidRDefault="0067573F" w:rsidP="00FB727F">
            <w:pPr>
              <w:numPr>
                <w:ilvl w:val="0"/>
                <w:numId w:val="29"/>
              </w:numPr>
            </w:pPr>
            <w:r w:rsidRPr="004115E3">
              <w:t xml:space="preserve">Grootste werkarchief (P&amp;P) op orde brengen door digitalisering. </w:t>
            </w:r>
          </w:p>
          <w:p w:rsidR="0067573F" w:rsidRPr="004115E3" w:rsidRDefault="0067573F" w:rsidP="00FB727F">
            <w:pPr>
              <w:numPr>
                <w:ilvl w:val="0"/>
                <w:numId w:val="29"/>
              </w:numPr>
            </w:pPr>
            <w:r w:rsidRPr="004115E3">
              <w:t>Plan van aanpak maken voor digitaliseren van andere archieven</w:t>
            </w:r>
            <w:r w:rsidRPr="004115E3">
              <w:rPr>
                <w:color w:val="4F6228" w:themeColor="accent3" w:themeShade="80"/>
              </w:rPr>
              <w:t>.</w:t>
            </w:r>
          </w:p>
        </w:tc>
        <w:tc>
          <w:tcPr>
            <w:tcW w:w="2694" w:type="dxa"/>
            <w:vMerge w:val="restart"/>
          </w:tcPr>
          <w:p w:rsidR="0067573F" w:rsidRPr="004115E3" w:rsidRDefault="0067573F" w:rsidP="001434D1">
            <w:pPr>
              <w:rPr>
                <w:color w:val="FF0000"/>
              </w:rPr>
            </w:pPr>
          </w:p>
          <w:p w:rsidR="0067573F" w:rsidRPr="004115E3" w:rsidRDefault="0067573F" w:rsidP="001434D1">
            <w:r w:rsidRPr="004115E3">
              <w:t>Een goede en transparante besturing van de organisatie en het in verbinding zijn met de relaties van de organisatie (gemeenten, ketenpartners, burgers, bedrijven) door middel van informatie-uitwisseling.</w:t>
            </w:r>
          </w:p>
          <w:p w:rsidR="0067573F" w:rsidRPr="004115E3" w:rsidRDefault="0067573F" w:rsidP="001434D1">
            <w:r w:rsidRPr="004115E3">
              <w:lastRenderedPageBreak/>
              <w:t xml:space="preserve"> </w:t>
            </w:r>
          </w:p>
        </w:tc>
      </w:tr>
      <w:tr w:rsidR="0067573F" w:rsidRPr="004115E3" w:rsidTr="001434D1">
        <w:tc>
          <w:tcPr>
            <w:tcW w:w="2346" w:type="dxa"/>
            <w:vMerge/>
          </w:tcPr>
          <w:p w:rsidR="0067573F" w:rsidRPr="004115E3" w:rsidRDefault="0067573F" w:rsidP="001434D1"/>
        </w:tc>
        <w:tc>
          <w:tcPr>
            <w:tcW w:w="2959" w:type="dxa"/>
          </w:tcPr>
          <w:p w:rsidR="0067573F" w:rsidRPr="004115E3" w:rsidRDefault="0067573F" w:rsidP="001434D1">
            <w:r w:rsidRPr="004115E3">
              <w:t>Tevredenheid bestuursorganen/raden over de opgeleverde informatie</w:t>
            </w:r>
          </w:p>
        </w:tc>
        <w:tc>
          <w:tcPr>
            <w:tcW w:w="6710" w:type="dxa"/>
          </w:tcPr>
          <w:p w:rsidR="0067573F" w:rsidRPr="004115E3" w:rsidRDefault="0067573F" w:rsidP="00FB727F">
            <w:pPr>
              <w:numPr>
                <w:ilvl w:val="0"/>
                <w:numId w:val="30"/>
              </w:numPr>
            </w:pPr>
            <w:r w:rsidRPr="004115E3">
              <w:t xml:space="preserve">Verder </w:t>
            </w:r>
            <w:r>
              <w:t>digitaliseren van de jaarverslagen</w:t>
            </w:r>
            <w:r w:rsidRPr="004115E3">
              <w:t>.</w:t>
            </w:r>
          </w:p>
          <w:p w:rsidR="0067573F" w:rsidRPr="004115E3" w:rsidRDefault="0067573F" w:rsidP="00374B3A">
            <w:pPr>
              <w:numPr>
                <w:ilvl w:val="0"/>
                <w:numId w:val="30"/>
              </w:numPr>
            </w:pPr>
            <w:r w:rsidRPr="004115E3">
              <w:t xml:space="preserve">Organiseren van raadsinformatieavonden en 24-uursconferentie, accountgesprekken en het vernieuwen van de werkrelaties tussen medewerkers van de gemeente en de VRK. </w:t>
            </w:r>
          </w:p>
        </w:tc>
        <w:tc>
          <w:tcPr>
            <w:tcW w:w="2694" w:type="dxa"/>
            <w:vMerge/>
          </w:tcPr>
          <w:p w:rsidR="0067573F" w:rsidRPr="004115E3" w:rsidRDefault="0067573F" w:rsidP="001434D1"/>
        </w:tc>
      </w:tr>
      <w:tr w:rsidR="0067573F" w:rsidRPr="004115E3" w:rsidTr="001434D1">
        <w:tc>
          <w:tcPr>
            <w:tcW w:w="2346" w:type="dxa"/>
            <w:vMerge/>
            <w:tcBorders>
              <w:bottom w:val="single" w:sz="4" w:space="0" w:color="auto"/>
            </w:tcBorders>
          </w:tcPr>
          <w:p w:rsidR="0067573F" w:rsidRPr="004115E3" w:rsidRDefault="0067573F" w:rsidP="001434D1"/>
        </w:tc>
        <w:tc>
          <w:tcPr>
            <w:tcW w:w="2959" w:type="dxa"/>
            <w:tcBorders>
              <w:bottom w:val="single" w:sz="4" w:space="0" w:color="auto"/>
            </w:tcBorders>
          </w:tcPr>
          <w:p w:rsidR="0067573F" w:rsidRPr="004115E3" w:rsidRDefault="0067573F" w:rsidP="001434D1">
            <w:r w:rsidRPr="004115E3">
              <w:t xml:space="preserve">Tijdige, rechtmatige en juiste </w:t>
            </w:r>
            <w:r w:rsidRPr="004115E3">
              <w:lastRenderedPageBreak/>
              <w:t>informatie delen met ketenpartners en burgers</w:t>
            </w:r>
          </w:p>
        </w:tc>
        <w:tc>
          <w:tcPr>
            <w:tcW w:w="6710" w:type="dxa"/>
            <w:tcBorders>
              <w:bottom w:val="single" w:sz="4" w:space="0" w:color="auto"/>
            </w:tcBorders>
          </w:tcPr>
          <w:p w:rsidR="0067573F" w:rsidRPr="004115E3" w:rsidRDefault="0067573F" w:rsidP="00FB727F">
            <w:pPr>
              <w:numPr>
                <w:ilvl w:val="0"/>
                <w:numId w:val="31"/>
              </w:numPr>
            </w:pPr>
            <w:r w:rsidRPr="004115E3">
              <w:lastRenderedPageBreak/>
              <w:t xml:space="preserve">Informatie beschikbaar stellen conform de standaard voor </w:t>
            </w:r>
            <w:r w:rsidRPr="004115E3">
              <w:lastRenderedPageBreak/>
              <w:t>veiligheidsregio’s (Veiligheidsregio Referentie Architectuur)</w:t>
            </w:r>
          </w:p>
          <w:p w:rsidR="0067573F" w:rsidRPr="004115E3" w:rsidRDefault="0067573F" w:rsidP="00FB727F">
            <w:pPr>
              <w:numPr>
                <w:ilvl w:val="0"/>
                <w:numId w:val="31"/>
              </w:numPr>
            </w:pPr>
            <w:r w:rsidRPr="004115E3">
              <w:t>Planmatig realiseren van een samenhangend informatiestelsel (met elkaar verbinden van registraties)</w:t>
            </w:r>
            <w:r w:rsidRPr="004115E3">
              <w:rPr>
                <w:color w:val="FF0000"/>
              </w:rPr>
              <w:t xml:space="preserve"> </w:t>
            </w:r>
          </w:p>
          <w:p w:rsidR="0067573F" w:rsidRPr="004115E3" w:rsidRDefault="0067573F" w:rsidP="001434D1">
            <w:pPr>
              <w:ind w:left="360"/>
            </w:pPr>
          </w:p>
        </w:tc>
        <w:tc>
          <w:tcPr>
            <w:tcW w:w="2694" w:type="dxa"/>
            <w:vMerge/>
            <w:tcBorders>
              <w:bottom w:val="single" w:sz="4" w:space="0" w:color="auto"/>
            </w:tcBorders>
          </w:tcPr>
          <w:p w:rsidR="0067573F" w:rsidRPr="004115E3" w:rsidRDefault="0067573F" w:rsidP="001434D1"/>
        </w:tc>
      </w:tr>
      <w:tr w:rsidR="0067573F" w:rsidRPr="004115E3" w:rsidTr="001434D1">
        <w:tc>
          <w:tcPr>
            <w:tcW w:w="14709" w:type="dxa"/>
            <w:gridSpan w:val="4"/>
            <w:shd w:val="clear" w:color="auto" w:fill="C6D9F1" w:themeFill="text2" w:themeFillTint="33"/>
          </w:tcPr>
          <w:p w:rsidR="0067573F" w:rsidRPr="004115E3" w:rsidRDefault="0067573F" w:rsidP="001434D1"/>
        </w:tc>
      </w:tr>
      <w:tr w:rsidR="0067573F" w:rsidRPr="004115E3" w:rsidTr="001434D1">
        <w:tc>
          <w:tcPr>
            <w:tcW w:w="2346" w:type="dxa"/>
            <w:vMerge w:val="restart"/>
          </w:tcPr>
          <w:p w:rsidR="0067573F" w:rsidRPr="004115E3" w:rsidRDefault="0067573F" w:rsidP="001434D1">
            <w:r w:rsidRPr="004115E3">
              <w:t>Goed werkgeverschap</w:t>
            </w:r>
          </w:p>
        </w:tc>
        <w:tc>
          <w:tcPr>
            <w:tcW w:w="2959" w:type="dxa"/>
          </w:tcPr>
          <w:p w:rsidR="0067573F" w:rsidRPr="004115E3" w:rsidRDefault="0067573F" w:rsidP="001434D1">
            <w:r w:rsidRPr="004115E3">
              <w:t xml:space="preserve">Realiseren duurzaam inzetbaar personeel en gevarieerd medewerkersbestand </w:t>
            </w:r>
          </w:p>
        </w:tc>
        <w:tc>
          <w:tcPr>
            <w:tcW w:w="6710" w:type="dxa"/>
          </w:tcPr>
          <w:p w:rsidR="0067573F" w:rsidRPr="004115E3" w:rsidRDefault="0067573F" w:rsidP="00FB727F">
            <w:pPr>
              <w:numPr>
                <w:ilvl w:val="0"/>
                <w:numId w:val="29"/>
              </w:numPr>
            </w:pPr>
            <w:r w:rsidRPr="004115E3">
              <w:t xml:space="preserve">Inzetten van diverse middelen om flexibiliteit te bevorderen: regionale </w:t>
            </w:r>
            <w:proofErr w:type="spellStart"/>
            <w:r w:rsidRPr="004115E3">
              <w:t>Flexpool</w:t>
            </w:r>
            <w:proofErr w:type="spellEnd"/>
            <w:r w:rsidRPr="004115E3">
              <w:t>, klussenbank, projectleiderspool.</w:t>
            </w:r>
          </w:p>
          <w:p w:rsidR="0067573F" w:rsidRPr="004115E3" w:rsidRDefault="0067573F" w:rsidP="00FB727F">
            <w:pPr>
              <w:numPr>
                <w:ilvl w:val="0"/>
                <w:numId w:val="29"/>
              </w:numPr>
            </w:pPr>
            <w:r>
              <w:t xml:space="preserve">Inzetten van 2% </w:t>
            </w:r>
            <w:r w:rsidRPr="004115E3">
              <w:t xml:space="preserve">van de loonsom voor opleidingen </w:t>
            </w:r>
          </w:p>
          <w:p w:rsidR="0067573F" w:rsidRDefault="0067573F" w:rsidP="00FB727F">
            <w:pPr>
              <w:numPr>
                <w:ilvl w:val="0"/>
                <w:numId w:val="29"/>
              </w:numPr>
            </w:pPr>
            <w:r>
              <w:t>Uitvoeren van het Generatiepact en daarmee instroommogelijkheden voor jonge medewerkers creëren</w:t>
            </w:r>
          </w:p>
          <w:p w:rsidR="0067573F" w:rsidRPr="004115E3" w:rsidRDefault="0067573F" w:rsidP="00FB727F">
            <w:pPr>
              <w:numPr>
                <w:ilvl w:val="0"/>
                <w:numId w:val="29"/>
              </w:numPr>
            </w:pPr>
            <w:r w:rsidRPr="004115E3">
              <w:t>Investeren in leiderschap (gericht op kwaliteit werkrelaties, ontwikkeling talent en duurzame inzetbaarheid personeel)</w:t>
            </w:r>
          </w:p>
          <w:p w:rsidR="0067573F" w:rsidRPr="00E54B7D" w:rsidRDefault="0067573F" w:rsidP="00FB727F">
            <w:pPr>
              <w:numPr>
                <w:ilvl w:val="0"/>
                <w:numId w:val="29"/>
              </w:numPr>
            </w:pPr>
            <w:r w:rsidRPr="00E54B7D">
              <w:t>VRK voor mensen met een beperking tot de arbeidsmarkt</w:t>
            </w:r>
            <w:r w:rsidR="00374B3A">
              <w:t xml:space="preserve"> </w:t>
            </w:r>
            <w:r w:rsidRPr="00E54B7D">
              <w:t>toegankelijker</w:t>
            </w:r>
            <w:r w:rsidR="005615F6">
              <w:t xml:space="preserve"> </w:t>
            </w:r>
            <w:r w:rsidRPr="00E54B7D">
              <w:t>te maken.</w:t>
            </w:r>
          </w:p>
          <w:p w:rsidR="0067573F" w:rsidRPr="004115E3" w:rsidRDefault="0067573F" w:rsidP="00FB727F">
            <w:pPr>
              <w:numPr>
                <w:ilvl w:val="0"/>
                <w:numId w:val="29"/>
              </w:numPr>
            </w:pPr>
            <w:r w:rsidRPr="004115E3">
              <w:t>Intern doel: per jaar hebben 10% (en 15% voor 2020) van de medewerkers HS en F</w:t>
            </w:r>
            <w:r>
              <w:t>B</w:t>
            </w:r>
            <w:r w:rsidRPr="004115E3">
              <w:t xml:space="preserve"> tijdelijk of definitief een andere klus/baan</w:t>
            </w:r>
            <w:r w:rsidR="005615F6">
              <w:t xml:space="preserve"> </w:t>
            </w:r>
            <w:r>
              <w:t>dan wel project gedaan.</w:t>
            </w:r>
          </w:p>
        </w:tc>
        <w:tc>
          <w:tcPr>
            <w:tcW w:w="2694" w:type="dxa"/>
            <w:vMerge w:val="restart"/>
          </w:tcPr>
          <w:p w:rsidR="0067573F" w:rsidRPr="004115E3" w:rsidRDefault="0067573F" w:rsidP="001434D1">
            <w:pPr>
              <w:rPr>
                <w:color w:val="365F91" w:themeColor="accent1" w:themeShade="BF"/>
              </w:rPr>
            </w:pPr>
            <w:r w:rsidRPr="004115E3">
              <w:t>Een organisatie die een afspiegeling vormt van de maatschappij, met medewerkers die vakbekwaam zijn én blijven waarbij continu geanticipeerd wordt op ontwikkelingen.</w:t>
            </w:r>
          </w:p>
        </w:tc>
      </w:tr>
      <w:tr w:rsidR="0067573F" w:rsidRPr="004115E3" w:rsidTr="001434D1">
        <w:tc>
          <w:tcPr>
            <w:tcW w:w="2346" w:type="dxa"/>
            <w:vMerge/>
          </w:tcPr>
          <w:p w:rsidR="0067573F" w:rsidRPr="004115E3" w:rsidRDefault="0067573F" w:rsidP="001434D1">
            <w:pPr>
              <w:rPr>
                <w:color w:val="365F91" w:themeColor="accent1" w:themeShade="BF"/>
              </w:rPr>
            </w:pPr>
          </w:p>
        </w:tc>
        <w:tc>
          <w:tcPr>
            <w:tcW w:w="2959" w:type="dxa"/>
          </w:tcPr>
          <w:p w:rsidR="0067573F" w:rsidRPr="004115E3" w:rsidRDefault="0067573F" w:rsidP="001434D1">
            <w:r w:rsidRPr="004115E3">
              <w:t>Aantrekkelijk werkgever zijn nu en in de toekomst (borgen continuïteit van de organisatie)</w:t>
            </w:r>
          </w:p>
        </w:tc>
        <w:tc>
          <w:tcPr>
            <w:tcW w:w="6710" w:type="dxa"/>
          </w:tcPr>
          <w:p w:rsidR="0067573F" w:rsidRPr="004115E3" w:rsidRDefault="0067573F" w:rsidP="00FB727F">
            <w:pPr>
              <w:numPr>
                <w:ilvl w:val="0"/>
                <w:numId w:val="29"/>
              </w:numPr>
              <w:rPr>
                <w:i/>
              </w:rPr>
            </w:pPr>
            <w:r w:rsidRPr="004115E3">
              <w:t xml:space="preserve">Faciliteren tijd- en </w:t>
            </w:r>
            <w:proofErr w:type="spellStart"/>
            <w:r w:rsidRPr="004115E3">
              <w:t>plaatsonafhankelijk</w:t>
            </w:r>
            <w:proofErr w:type="spellEnd"/>
            <w:r w:rsidRPr="004115E3">
              <w:t xml:space="preserve"> werken </w:t>
            </w:r>
          </w:p>
          <w:p w:rsidR="0067573F" w:rsidRPr="004115E3" w:rsidRDefault="0067573F" w:rsidP="00FB727F">
            <w:pPr>
              <w:numPr>
                <w:ilvl w:val="0"/>
                <w:numId w:val="29"/>
              </w:numPr>
            </w:pPr>
            <w:r w:rsidRPr="004115E3">
              <w:t>Bepalen profiel van de VRK als (toekomstig) werkgever en het zichtbaar maken van de VRK als werkgever (presentatie /marketing/werving).</w:t>
            </w:r>
          </w:p>
        </w:tc>
        <w:tc>
          <w:tcPr>
            <w:tcW w:w="2694" w:type="dxa"/>
            <w:vMerge/>
          </w:tcPr>
          <w:p w:rsidR="0067573F" w:rsidRPr="004115E3" w:rsidRDefault="0067573F" w:rsidP="001434D1">
            <w:pPr>
              <w:rPr>
                <w:color w:val="365F91" w:themeColor="accent1" w:themeShade="BF"/>
              </w:rPr>
            </w:pPr>
          </w:p>
        </w:tc>
      </w:tr>
      <w:tr w:rsidR="0067573F" w:rsidRPr="004115E3" w:rsidTr="001434D1">
        <w:tc>
          <w:tcPr>
            <w:tcW w:w="14709" w:type="dxa"/>
            <w:gridSpan w:val="4"/>
            <w:shd w:val="clear" w:color="auto" w:fill="C6D9F1" w:themeFill="text2" w:themeFillTint="33"/>
          </w:tcPr>
          <w:p w:rsidR="0067573F" w:rsidRPr="004115E3" w:rsidRDefault="0067573F" w:rsidP="001434D1">
            <w:pPr>
              <w:rPr>
                <w:color w:val="365F91" w:themeColor="accent1" w:themeShade="BF"/>
              </w:rPr>
            </w:pPr>
          </w:p>
        </w:tc>
      </w:tr>
      <w:tr w:rsidR="0067573F" w:rsidRPr="004115E3" w:rsidTr="001434D1">
        <w:tc>
          <w:tcPr>
            <w:tcW w:w="2346" w:type="dxa"/>
          </w:tcPr>
          <w:p w:rsidR="0067573F" w:rsidRPr="004115E3" w:rsidRDefault="0067573F" w:rsidP="001434D1">
            <w:r w:rsidRPr="004115E3">
              <w:t>Het bevorderen van leren, verbeteren</w:t>
            </w:r>
            <w:r w:rsidR="005615F6">
              <w:t xml:space="preserve"> </w:t>
            </w:r>
            <w:r w:rsidRPr="004115E3">
              <w:t>en innoveren.</w:t>
            </w:r>
          </w:p>
        </w:tc>
        <w:tc>
          <w:tcPr>
            <w:tcW w:w="2959" w:type="dxa"/>
            <w:tcBorders>
              <w:bottom w:val="single" w:sz="4" w:space="0" w:color="auto"/>
            </w:tcBorders>
          </w:tcPr>
          <w:p w:rsidR="0067573F" w:rsidRPr="004115E3" w:rsidRDefault="0067573F" w:rsidP="001434D1">
            <w:r w:rsidRPr="004115E3">
              <w:t xml:space="preserve">Realiseren </w:t>
            </w:r>
            <w:r>
              <w:t xml:space="preserve">geborgd </w:t>
            </w:r>
            <w:r w:rsidRPr="004115E3">
              <w:t xml:space="preserve">kwaliteitsbeleid “Koers op kwaliteit” </w:t>
            </w:r>
            <w:r>
              <w:t>en certificering van de gehele organisatie</w:t>
            </w:r>
          </w:p>
          <w:p w:rsidR="0067573F" w:rsidRPr="004115E3" w:rsidRDefault="0067573F" w:rsidP="001434D1"/>
        </w:tc>
        <w:tc>
          <w:tcPr>
            <w:tcW w:w="6710" w:type="dxa"/>
            <w:tcBorders>
              <w:bottom w:val="single" w:sz="4" w:space="0" w:color="auto"/>
            </w:tcBorders>
          </w:tcPr>
          <w:p w:rsidR="0067573F" w:rsidRPr="004115E3" w:rsidRDefault="0067573F" w:rsidP="00FB727F">
            <w:pPr>
              <w:numPr>
                <w:ilvl w:val="0"/>
                <w:numId w:val="29"/>
              </w:numPr>
            </w:pPr>
            <w:r w:rsidRPr="004115E3">
              <w:t>Invoeren integraal kwaliteitssysteem.</w:t>
            </w:r>
          </w:p>
          <w:p w:rsidR="0067573F" w:rsidRPr="004115E3" w:rsidRDefault="0067573F" w:rsidP="00FB727F">
            <w:pPr>
              <w:numPr>
                <w:ilvl w:val="0"/>
                <w:numId w:val="29"/>
              </w:numPr>
            </w:pPr>
            <w:r w:rsidRPr="004115E3">
              <w:t xml:space="preserve">Invoeren kwaliteitseisen uit Koers op kwaliteit </w:t>
            </w:r>
          </w:p>
          <w:p w:rsidR="0067573F" w:rsidRPr="004115E3" w:rsidRDefault="0067573F" w:rsidP="00FB727F">
            <w:pPr>
              <w:numPr>
                <w:ilvl w:val="0"/>
                <w:numId w:val="29"/>
              </w:numPr>
            </w:pPr>
            <w:r w:rsidRPr="004115E3">
              <w:t>Cert</w:t>
            </w:r>
            <w:r>
              <w:t>ificering</w:t>
            </w:r>
            <w:r w:rsidR="005615F6">
              <w:t xml:space="preserve"> </w:t>
            </w:r>
            <w:r>
              <w:t>VRK volgens NEN 9001 – 2015 (Ambulance – HKZ)</w:t>
            </w:r>
          </w:p>
        </w:tc>
        <w:tc>
          <w:tcPr>
            <w:tcW w:w="2694" w:type="dxa"/>
          </w:tcPr>
          <w:p w:rsidR="0067573F" w:rsidRPr="004115E3" w:rsidRDefault="0067573F" w:rsidP="001434D1">
            <w:r w:rsidRPr="004115E3">
              <w:t xml:space="preserve">Tevreden klanten en partners </w:t>
            </w:r>
          </w:p>
        </w:tc>
      </w:tr>
    </w:tbl>
    <w:p w:rsidR="00C15AA6" w:rsidRPr="003542F3" w:rsidRDefault="00C15AA6" w:rsidP="00C15AA6">
      <w:pPr>
        <w:rPr>
          <w:b/>
        </w:rPr>
        <w:sectPr w:rsidR="00C15AA6" w:rsidRPr="003542F3" w:rsidSect="00BF0184">
          <w:pgSz w:w="16838" w:h="11906" w:orient="landscape"/>
          <w:pgMar w:top="1417" w:right="1417" w:bottom="1417" w:left="1417" w:header="708" w:footer="708" w:gutter="0"/>
          <w:cols w:space="708"/>
          <w:docGrid w:linePitch="360"/>
        </w:sectPr>
      </w:pPr>
      <w:r>
        <w:rPr>
          <w:b/>
        </w:rPr>
        <w:tab/>
      </w:r>
      <w:r>
        <w:rPr>
          <w:b/>
        </w:rPr>
        <w:tab/>
      </w:r>
      <w:r>
        <w:rPr>
          <w:b/>
        </w:rPr>
        <w:tab/>
      </w:r>
      <w:r>
        <w:rPr>
          <w:b/>
        </w:rPr>
        <w:tab/>
      </w:r>
    </w:p>
    <w:p w:rsidR="003542F3" w:rsidRPr="003542F3" w:rsidRDefault="003542F3" w:rsidP="003542F3">
      <w:pPr>
        <w:rPr>
          <w:b/>
        </w:rPr>
      </w:pPr>
      <w:r w:rsidRPr="003542F3">
        <w:rPr>
          <w:b/>
        </w:rPr>
        <w:lastRenderedPageBreak/>
        <w:t>Wat mag het kosten?</w:t>
      </w:r>
    </w:p>
    <w:p w:rsidR="005B7C2C" w:rsidRDefault="005B7C2C">
      <w:pPr>
        <w:rPr>
          <w:noProof/>
          <w:lang w:eastAsia="nl-NL"/>
        </w:rPr>
      </w:pPr>
      <w:r w:rsidRPr="005B7C2C">
        <w:rPr>
          <w:noProof/>
          <w:lang w:eastAsia="nl-NL"/>
        </w:rPr>
        <w:drawing>
          <wp:inline distT="0" distB="0" distL="0" distR="0" wp14:anchorId="241A988E" wp14:editId="2B5B4904">
            <wp:extent cx="5760720" cy="5216471"/>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60720" cy="5216471"/>
                    </a:xfrm>
                    <a:prstGeom prst="rect">
                      <a:avLst/>
                    </a:prstGeom>
                    <a:noFill/>
                    <a:ln>
                      <a:noFill/>
                    </a:ln>
                  </pic:spPr>
                </pic:pic>
              </a:graphicData>
            </a:graphic>
          </wp:inline>
        </w:drawing>
      </w:r>
    </w:p>
    <w:p w:rsidR="00067229" w:rsidRDefault="000964AB">
      <w:pPr>
        <w:rPr>
          <w:noProof/>
          <w:lang w:eastAsia="nl-NL"/>
        </w:rPr>
      </w:pPr>
      <w:r w:rsidRPr="000964AB">
        <w:rPr>
          <w:noProof/>
          <w:lang w:eastAsia="nl-NL"/>
        </w:rPr>
        <w:drawing>
          <wp:inline distT="0" distB="0" distL="0" distR="0">
            <wp:extent cx="5443855" cy="2700655"/>
            <wp:effectExtent l="0" t="0" r="4445" b="4445"/>
            <wp:docPr id="66" name="Afbeelding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43855" cy="2700655"/>
                    </a:xfrm>
                    <a:prstGeom prst="rect">
                      <a:avLst/>
                    </a:prstGeom>
                    <a:noFill/>
                    <a:ln>
                      <a:noFill/>
                    </a:ln>
                  </pic:spPr>
                </pic:pic>
              </a:graphicData>
            </a:graphic>
          </wp:inline>
        </w:drawing>
      </w:r>
      <w:r w:rsidR="00067229">
        <w:rPr>
          <w:noProof/>
          <w:lang w:eastAsia="nl-NL"/>
        </w:rPr>
        <w:br w:type="page"/>
      </w:r>
    </w:p>
    <w:p w:rsidR="00C20E57" w:rsidRDefault="007D31B1" w:rsidP="00A55D32">
      <w:pPr>
        <w:pStyle w:val="Kop2"/>
        <w:numPr>
          <w:ilvl w:val="1"/>
          <w:numId w:val="1"/>
        </w:numPr>
      </w:pPr>
      <w:bookmarkStart w:id="25" w:name="_Toc478655813"/>
      <w:r>
        <w:lastRenderedPageBreak/>
        <w:t>Financiële middelen</w:t>
      </w:r>
      <w:bookmarkEnd w:id="25"/>
      <w:r>
        <w:br/>
      </w:r>
    </w:p>
    <w:p w:rsidR="005031C9" w:rsidRDefault="00A55D32" w:rsidP="00A55D32">
      <w:r w:rsidRPr="00A55D32">
        <w:t>Het programma Financiële middelen bevat middelen</w:t>
      </w:r>
      <w:r w:rsidR="009F089B">
        <w:t>,</w:t>
      </w:r>
      <w:r w:rsidRPr="00A55D32">
        <w:t xml:space="preserve"> die niet gerelateerd z</w:t>
      </w:r>
      <w:r w:rsidR="005031C9">
        <w:t>ijn aan specifieke programma’s.</w:t>
      </w:r>
      <w:r w:rsidR="005615F6">
        <w:t xml:space="preserve"> </w:t>
      </w:r>
      <w:r w:rsidR="005031C9">
        <w:t>Het betreft:</w:t>
      </w:r>
    </w:p>
    <w:p w:rsidR="005031C9" w:rsidRDefault="005031C9" w:rsidP="00FB727F">
      <w:pPr>
        <w:pStyle w:val="Lijstalinea"/>
        <w:numPr>
          <w:ilvl w:val="0"/>
          <w:numId w:val="57"/>
        </w:numPr>
      </w:pPr>
      <w:r>
        <w:t>Aandeel Amsterda</w:t>
      </w:r>
      <w:r w:rsidR="00A55D32" w:rsidRPr="00A55D32">
        <w:t>m-Amstelland van in</w:t>
      </w:r>
      <w:r>
        <w:t>terregionale versterkingsgelden</w:t>
      </w:r>
    </w:p>
    <w:p w:rsidR="008C1B03" w:rsidRDefault="005031C9" w:rsidP="00FB727F">
      <w:pPr>
        <w:pStyle w:val="Lijstalinea"/>
        <w:numPr>
          <w:ilvl w:val="0"/>
          <w:numId w:val="57"/>
        </w:numPr>
      </w:pPr>
      <w:r>
        <w:t xml:space="preserve">De </w:t>
      </w:r>
      <w:proofErr w:type="spellStart"/>
      <w:r w:rsidR="00591266">
        <w:t>onderuitputting</w:t>
      </w:r>
      <w:proofErr w:type="spellEnd"/>
      <w:r w:rsidR="00591266">
        <w:t xml:space="preserve"> op de </w:t>
      </w:r>
      <w:r w:rsidR="008C1B03">
        <w:t>kapitaallasten</w:t>
      </w:r>
    </w:p>
    <w:p w:rsidR="005031C9" w:rsidRDefault="005031C9" w:rsidP="00FB727F">
      <w:pPr>
        <w:pStyle w:val="Lijstalinea"/>
        <w:numPr>
          <w:ilvl w:val="0"/>
          <w:numId w:val="57"/>
        </w:numPr>
      </w:pPr>
      <w:r>
        <w:t>De post onvoorzien</w:t>
      </w:r>
    </w:p>
    <w:p w:rsidR="00CC52F7" w:rsidRDefault="00CC52F7" w:rsidP="00FB727F">
      <w:pPr>
        <w:pStyle w:val="Lijstalinea"/>
        <w:numPr>
          <w:ilvl w:val="0"/>
          <w:numId w:val="57"/>
        </w:numPr>
      </w:pPr>
      <w:r>
        <w:t>Financieringsresultaat</w:t>
      </w:r>
    </w:p>
    <w:p w:rsidR="0027378C" w:rsidRDefault="005B7C2C" w:rsidP="00A55D32">
      <w:pPr>
        <w:rPr>
          <w:noProof/>
          <w:lang w:eastAsia="nl-NL"/>
        </w:rPr>
      </w:pPr>
      <w:r w:rsidRPr="005B7C2C">
        <w:rPr>
          <w:noProof/>
          <w:lang w:eastAsia="nl-NL"/>
        </w:rPr>
        <w:drawing>
          <wp:inline distT="0" distB="0" distL="0" distR="0" wp14:anchorId="0B618654" wp14:editId="376AEDE0">
            <wp:extent cx="5760720" cy="3784415"/>
            <wp:effectExtent l="0" t="0" r="0" b="698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60720" cy="3784415"/>
                    </a:xfrm>
                    <a:prstGeom prst="rect">
                      <a:avLst/>
                    </a:prstGeom>
                    <a:noFill/>
                    <a:ln>
                      <a:noFill/>
                    </a:ln>
                  </pic:spPr>
                </pic:pic>
              </a:graphicData>
            </a:graphic>
          </wp:inline>
        </w:drawing>
      </w:r>
    </w:p>
    <w:p w:rsidR="0027378C" w:rsidRDefault="005B7C2C" w:rsidP="00A55D32">
      <w:pPr>
        <w:rPr>
          <w:noProof/>
          <w:lang w:eastAsia="nl-NL"/>
        </w:rPr>
      </w:pPr>
      <w:r w:rsidRPr="005B7C2C">
        <w:rPr>
          <w:noProof/>
          <w:lang w:eastAsia="nl-NL"/>
        </w:rPr>
        <w:drawing>
          <wp:inline distT="0" distB="0" distL="0" distR="0" wp14:anchorId="1C348E68" wp14:editId="2747F211">
            <wp:extent cx="5443855" cy="1148080"/>
            <wp:effectExtent l="0" t="0" r="444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43855" cy="1148080"/>
                    </a:xfrm>
                    <a:prstGeom prst="rect">
                      <a:avLst/>
                    </a:prstGeom>
                    <a:noFill/>
                    <a:ln>
                      <a:noFill/>
                    </a:ln>
                  </pic:spPr>
                </pic:pic>
              </a:graphicData>
            </a:graphic>
          </wp:inline>
        </w:drawing>
      </w:r>
    </w:p>
    <w:p w:rsidR="0027378C" w:rsidRDefault="0027378C" w:rsidP="00A55D32">
      <w:pPr>
        <w:rPr>
          <w:noProof/>
          <w:lang w:eastAsia="nl-NL"/>
        </w:rPr>
      </w:pPr>
    </w:p>
    <w:p w:rsidR="0027378C" w:rsidRDefault="0027378C">
      <w:r>
        <w:br w:type="page"/>
      </w:r>
    </w:p>
    <w:p w:rsidR="00A55D32" w:rsidRDefault="009312EE" w:rsidP="00DC4BCF">
      <w:pPr>
        <w:pStyle w:val="Kop1"/>
        <w:numPr>
          <w:ilvl w:val="0"/>
          <w:numId w:val="1"/>
        </w:numPr>
      </w:pPr>
      <w:bookmarkStart w:id="26" w:name="_Toc478655814"/>
      <w:r>
        <w:lastRenderedPageBreak/>
        <w:t>Financiële beschouwingen</w:t>
      </w:r>
      <w:bookmarkEnd w:id="26"/>
    </w:p>
    <w:p w:rsidR="00604DA0" w:rsidRPr="00604DA0" w:rsidRDefault="00604DA0" w:rsidP="00604DA0">
      <w:r w:rsidRPr="00604DA0">
        <w:t>De financiële beschouwingen bevat de volgende onderwerpen:</w:t>
      </w:r>
    </w:p>
    <w:p w:rsidR="00604DA0" w:rsidRPr="00604DA0" w:rsidRDefault="00604DA0" w:rsidP="00604DA0">
      <w:pPr>
        <w:numPr>
          <w:ilvl w:val="0"/>
          <w:numId w:val="56"/>
        </w:numPr>
        <w:contextualSpacing/>
      </w:pPr>
      <w:r w:rsidRPr="00604DA0">
        <w:t>Ontwikkeling begrotingskaders</w:t>
      </w:r>
    </w:p>
    <w:p w:rsidR="00604DA0" w:rsidRPr="00604DA0" w:rsidRDefault="00604DA0" w:rsidP="00604DA0">
      <w:pPr>
        <w:numPr>
          <w:ilvl w:val="1"/>
          <w:numId w:val="56"/>
        </w:numPr>
        <w:contextualSpacing/>
      </w:pPr>
      <w:r w:rsidRPr="00604DA0">
        <w:t>Besluitvorming na programmabegroting 2017</w:t>
      </w:r>
    </w:p>
    <w:p w:rsidR="00604DA0" w:rsidRPr="00604DA0" w:rsidRDefault="00604DA0" w:rsidP="00604DA0">
      <w:pPr>
        <w:numPr>
          <w:ilvl w:val="1"/>
          <w:numId w:val="56"/>
        </w:numPr>
        <w:contextualSpacing/>
      </w:pPr>
      <w:r w:rsidRPr="00604DA0">
        <w:t>Nominale ontwikkelingen: ontwikkelingen vanaf de vaststelling van de programmabegroting 2017 en de prijs- en loonindexering.</w:t>
      </w:r>
    </w:p>
    <w:p w:rsidR="00604DA0" w:rsidRPr="00604DA0" w:rsidRDefault="00604DA0" w:rsidP="00604DA0">
      <w:pPr>
        <w:numPr>
          <w:ilvl w:val="1"/>
          <w:numId w:val="56"/>
        </w:numPr>
        <w:contextualSpacing/>
      </w:pPr>
      <w:r w:rsidRPr="00604DA0">
        <w:t>Autonome  ontwikkelingen: bijstelling in de bestaande begroting van niet beleidsmatige aard en ontwikkelingen die als noodzakelijk en onvermijdelijk zijn te kwalificeren.</w:t>
      </w:r>
    </w:p>
    <w:p w:rsidR="00604DA0" w:rsidRPr="00604DA0" w:rsidRDefault="00604DA0" w:rsidP="00604DA0">
      <w:pPr>
        <w:numPr>
          <w:ilvl w:val="1"/>
          <w:numId w:val="56"/>
        </w:numPr>
        <w:contextualSpacing/>
      </w:pPr>
      <w:r w:rsidRPr="00604DA0">
        <w:t>Nieuw beleid en versterkt bestaand beleid: Nieuwe programmaontwikkelingen en bestaande programmaontwikkelingen, die een extra impuls dienen te krijgen</w:t>
      </w:r>
    </w:p>
    <w:p w:rsidR="00604DA0" w:rsidRPr="00604DA0" w:rsidRDefault="00604DA0" w:rsidP="00604DA0">
      <w:pPr>
        <w:numPr>
          <w:ilvl w:val="1"/>
          <w:numId w:val="56"/>
        </w:numPr>
        <w:contextualSpacing/>
      </w:pPr>
      <w:r w:rsidRPr="00604DA0">
        <w:t>Dekkingsvoorstellen voor nieuw en versterkt bestaand beleid</w:t>
      </w:r>
    </w:p>
    <w:p w:rsidR="00604DA0" w:rsidRPr="00604DA0" w:rsidRDefault="00604DA0" w:rsidP="00604DA0">
      <w:pPr>
        <w:numPr>
          <w:ilvl w:val="0"/>
          <w:numId w:val="56"/>
        </w:numPr>
        <w:contextualSpacing/>
      </w:pPr>
      <w:r w:rsidRPr="00604DA0">
        <w:t>Effect op het lopende begrotingsjaar 2017</w:t>
      </w:r>
    </w:p>
    <w:p w:rsidR="00604DA0" w:rsidRPr="00604DA0" w:rsidRDefault="00604DA0" w:rsidP="00604DA0">
      <w:pPr>
        <w:numPr>
          <w:ilvl w:val="0"/>
          <w:numId w:val="56"/>
        </w:numPr>
        <w:contextualSpacing/>
      </w:pPr>
      <w:r w:rsidRPr="00604DA0">
        <w:t>Financiële begroting in één oogopslag</w:t>
      </w:r>
    </w:p>
    <w:p w:rsidR="00604DA0" w:rsidRDefault="00604DA0" w:rsidP="00604DA0">
      <w:pPr>
        <w:keepNext/>
        <w:keepLines/>
        <w:spacing w:before="200" w:after="0"/>
        <w:outlineLvl w:val="1"/>
        <w:rPr>
          <w:rFonts w:ascii="Calibri" w:eastAsiaTheme="majorEastAsia" w:hAnsi="Calibri" w:cstheme="majorBidi"/>
          <w:b/>
          <w:bCs/>
          <w:color w:val="4F81BD" w:themeColor="accent1"/>
          <w:sz w:val="26"/>
          <w:szCs w:val="26"/>
        </w:rPr>
      </w:pPr>
    </w:p>
    <w:p w:rsidR="00604DA0" w:rsidRPr="00604DA0" w:rsidRDefault="00604DA0" w:rsidP="005D4482">
      <w:pPr>
        <w:pStyle w:val="Kop2"/>
      </w:pPr>
      <w:bookmarkStart w:id="27" w:name="_Toc478655815"/>
      <w:r w:rsidRPr="00604DA0">
        <w:t>3.1 Ontwikkeling begrotingskaders</w:t>
      </w:r>
      <w:bookmarkEnd w:id="27"/>
    </w:p>
    <w:p w:rsidR="00604DA0" w:rsidRPr="00604DA0" w:rsidRDefault="00604DA0" w:rsidP="00604DA0">
      <w:r w:rsidRPr="00604DA0">
        <w:t>De vertreksituatie is de jaarschijf 2018 van de programmabegroting 2017. Daarin zijn de maatregelen voor 2018 voor efficiency, autonome ontwikkelingen en maatregelen voor een toekomstbestendige organisatie verwerkt. 2018 is het laatste jaar uit de notitie efficiencymogelijkheden 2015 – 2018. Over deze periode is in totaal € 2,9 miljoen aan efficiencybesparingen bereikt en daarvan is € 1,5 miljoen besteed aan autonome ontwikkelingen en een toekomstbestendige organisatie. De efficiencybesparingsopdracht voor 2018 bedraagt € 200.000 bestaande uit € 100.000 door het terugbrengen van de vervoersbewegingen als gevolg van het Nieuwe werken en  € 100.000 taakstelling Brandweer.</w:t>
      </w:r>
    </w:p>
    <w:p w:rsidR="00604DA0" w:rsidRPr="00604DA0" w:rsidRDefault="00604DA0" w:rsidP="00604DA0">
      <w:pPr>
        <w:rPr>
          <w:b/>
          <w:color w:val="548DD4" w:themeColor="text2" w:themeTint="99"/>
        </w:rPr>
      </w:pPr>
      <w:r w:rsidRPr="00604DA0">
        <w:rPr>
          <w:b/>
          <w:color w:val="548DD4" w:themeColor="text2" w:themeTint="99"/>
        </w:rPr>
        <w:t>Besluitvorming na programmabegroting 2017</w:t>
      </w:r>
    </w:p>
    <w:p w:rsidR="00604DA0" w:rsidRPr="00604DA0" w:rsidRDefault="00604DA0" w:rsidP="00604DA0">
      <w:pPr>
        <w:spacing w:after="0" w:line="240" w:lineRule="auto"/>
        <w:rPr>
          <w:i/>
        </w:rPr>
      </w:pPr>
      <w:r w:rsidRPr="00604DA0">
        <w:rPr>
          <w:i/>
        </w:rPr>
        <w:t xml:space="preserve">3.1.1 Uitlaatgasafzuiging en C2000 Beveiliging brandweerposten </w:t>
      </w:r>
    </w:p>
    <w:p w:rsidR="00604DA0" w:rsidRPr="00604DA0" w:rsidRDefault="00604DA0" w:rsidP="00604DA0">
      <w:r w:rsidRPr="00604DA0">
        <w:t>Vooruitlopend op de uitwerking van besluitvorming op het punt beheer en onderhoud van brandweerposten, is besloten tot investeringen om twee urgente problemen op te lossen. Deze maatregelen hebben betrekking op de arbeidshygiëne (op een  werknemers veilig niveau door het plaatsen van een puntafzuiging van uitlaatgassen)  en op het gebied van de beveiliging van C2000-apparatuur in de brandweerposten, zodat voldaan wordt aan de wettelijke eisen.  De hiermee samenhangende kosten voor afschrijving, rente en doormelding  ter grootte van  € 80.000 structureel  zijn opgenomen in  de begroting. Hiervoor is in lijn met de gemaakte afspraken ruimte gevonden binnen de bestaande begrotingskaders.</w:t>
      </w:r>
    </w:p>
    <w:p w:rsidR="00604DA0" w:rsidRPr="00604DA0" w:rsidRDefault="00604DA0" w:rsidP="00604DA0">
      <w:pPr>
        <w:rPr>
          <w:b/>
          <w:color w:val="548DD4" w:themeColor="text2" w:themeTint="99"/>
        </w:rPr>
      </w:pPr>
      <w:r w:rsidRPr="00604DA0">
        <w:rPr>
          <w:b/>
          <w:color w:val="548DD4" w:themeColor="text2" w:themeTint="99"/>
        </w:rPr>
        <w:t>Nominale ontwikkelingen</w:t>
      </w:r>
    </w:p>
    <w:p w:rsidR="00604DA0" w:rsidRPr="00604DA0" w:rsidRDefault="00604DA0" w:rsidP="00604DA0">
      <w:pPr>
        <w:spacing w:after="0" w:line="240" w:lineRule="auto"/>
        <w:rPr>
          <w:rFonts w:cs="Arial"/>
          <w:i/>
        </w:rPr>
      </w:pPr>
      <w:r w:rsidRPr="00604DA0">
        <w:rPr>
          <w:rFonts w:cs="Arial"/>
          <w:i/>
        </w:rPr>
        <w:t xml:space="preserve">3.2.1. Loonontwikkeling </w:t>
      </w:r>
      <w:proofErr w:type="spellStart"/>
      <w:r w:rsidRPr="00604DA0">
        <w:rPr>
          <w:rFonts w:cs="Arial"/>
          <w:i/>
        </w:rPr>
        <w:t>BDuR</w:t>
      </w:r>
      <w:proofErr w:type="spellEnd"/>
    </w:p>
    <w:p w:rsidR="00604DA0" w:rsidRPr="00604DA0" w:rsidRDefault="00604DA0" w:rsidP="00604DA0">
      <w:pPr>
        <w:rPr>
          <w:rFonts w:ascii="Arial" w:hAnsi="Arial" w:cs="Arial"/>
        </w:rPr>
      </w:pPr>
      <w:r w:rsidRPr="00604DA0">
        <w:t>Het Rijk heeft besloten om met ingang van 2016 de doeluitkering aan veiligheidsregio’s (</w:t>
      </w:r>
      <w:proofErr w:type="spellStart"/>
      <w:r w:rsidRPr="00604DA0">
        <w:t>BDuR</w:t>
      </w:r>
      <w:proofErr w:type="spellEnd"/>
      <w:r w:rsidRPr="00604DA0">
        <w:t>) jaarlijks bij te stellen voor de stijging van loonkosten. Dit betekent voor de VRK een structurele verhoging van € 40.000. Hierbij wordt aangetekend dat een dergelijke compensatie niet wordt verleend voor de versterkingsgelden, die Kennemerland van het Rijk ontvangt in verband met het risicoprofiel van de regio, waardoor op dat vlak een uithollingseffect optreedt.</w:t>
      </w:r>
    </w:p>
    <w:p w:rsidR="00604DA0" w:rsidRPr="00604DA0" w:rsidRDefault="00604DA0" w:rsidP="00604DA0">
      <w:pPr>
        <w:spacing w:after="0" w:line="240" w:lineRule="auto"/>
        <w:rPr>
          <w:rFonts w:cs="Arial"/>
          <w:i/>
        </w:rPr>
      </w:pPr>
      <w:r w:rsidRPr="00604DA0">
        <w:rPr>
          <w:rFonts w:cs="Arial"/>
          <w:i/>
        </w:rPr>
        <w:lastRenderedPageBreak/>
        <w:t>3.2.2 Loon en prijsindexering gemeentelijk bijdrage</w:t>
      </w:r>
    </w:p>
    <w:p w:rsidR="00604DA0" w:rsidRPr="00604DA0" w:rsidRDefault="00604DA0" w:rsidP="00604DA0">
      <w:r w:rsidRPr="00604DA0">
        <w:t>De voorlopige nominale ontwikkeling van de gemeentelijke bijdrage is berekend op de thans bekende cijfers. De nominale ontwikkeling bestaat uit loonindexering en prijsindexering. Daarbij is de weging loonindexering 67%, en prijsindexering 33%.</w:t>
      </w:r>
    </w:p>
    <w:p w:rsidR="00604DA0" w:rsidRPr="00604DA0" w:rsidRDefault="00604DA0" w:rsidP="00604DA0">
      <w:pPr>
        <w:rPr>
          <w:rFonts w:cs="Arial"/>
          <w:i/>
        </w:rPr>
      </w:pPr>
      <w:r w:rsidRPr="00604DA0">
        <w:t>De nominale ontwikkeling 2018 bedraagt 2,24% (0,33% van prijsindexering 0,70% + 0,67% van loonindexering 3%), op basis van de thans bekende gegevens. Hiermee is voor de gemeentelijke bijdrage een bedrag gemoeid van € 1.014.000.</w:t>
      </w:r>
      <w:r w:rsidRPr="00604DA0">
        <w:rPr>
          <w:rFonts w:cs="Arial"/>
          <w:i/>
        </w:rPr>
        <w:tab/>
      </w:r>
    </w:p>
    <w:p w:rsidR="00604DA0" w:rsidRPr="00604DA0" w:rsidRDefault="00604DA0" w:rsidP="00604DA0">
      <w:pPr>
        <w:spacing w:after="0" w:line="240" w:lineRule="auto"/>
        <w:rPr>
          <w:rFonts w:cs="Arial"/>
          <w:u w:val="single"/>
        </w:rPr>
      </w:pPr>
      <w:r w:rsidRPr="00604DA0">
        <w:rPr>
          <w:rFonts w:cs="Arial"/>
          <w:u w:val="single"/>
        </w:rPr>
        <w:t>Toelichting prijsindexering 0,7%</w:t>
      </w:r>
    </w:p>
    <w:p w:rsidR="00604DA0" w:rsidRPr="00604DA0" w:rsidRDefault="00604DA0" w:rsidP="00604DA0">
      <w:r w:rsidRPr="00604DA0">
        <w:t>Op basis van de korte-termijnraming december 2016 CBS zal het IMOC cijfer naar beneden bijgesteld worden met 0,4% voor de jaren 2014 t/m 2017. De prijsindexering 2018 is voorlopig geraamd op 1,1%. Hiermee is de prijsindexering 2018 in totaal 0,7%.</w:t>
      </w:r>
    </w:p>
    <w:p w:rsidR="00604DA0" w:rsidRPr="00604DA0" w:rsidRDefault="00604DA0" w:rsidP="00604DA0">
      <w:pPr>
        <w:spacing w:after="0" w:line="240" w:lineRule="auto"/>
        <w:rPr>
          <w:rFonts w:cs="Arial"/>
          <w:u w:val="single"/>
        </w:rPr>
      </w:pPr>
      <w:r w:rsidRPr="00604DA0">
        <w:rPr>
          <w:rFonts w:cs="Arial"/>
          <w:u w:val="single"/>
        </w:rPr>
        <w:t>Toelichting loonindexering 3,0%</w:t>
      </w:r>
    </w:p>
    <w:p w:rsidR="00604DA0" w:rsidRPr="00604DA0" w:rsidRDefault="00604DA0" w:rsidP="00604DA0">
      <w:r w:rsidRPr="00604DA0">
        <w:t>Bij de programmabegroting 2017 is de loonindexering voor 2017 geraamd op 1%. De werkelijke loonontwikkeling 2017 bedraagt 2,25%. De stijging van de pensioenlasten, de cao verhoging per 1 januari 2017 en de IKB uitbetaling van de bovenwettelijke vakantiedagen veroorzaken deze stijging. De loonontwikkeling 2018 wordt  geraamd op 1,75%.  Hiermee is de loonindexering 2018 in totaal 3,0%.</w:t>
      </w:r>
    </w:p>
    <w:p w:rsidR="00604DA0" w:rsidRPr="00604DA0" w:rsidRDefault="00604DA0" w:rsidP="00604DA0">
      <w:r w:rsidRPr="00604DA0">
        <w:t>De nominale ontwikkeling wordt in bijlage 4.4 toegelicht.</w:t>
      </w:r>
    </w:p>
    <w:p w:rsidR="00604DA0" w:rsidRPr="00604DA0" w:rsidRDefault="00604DA0" w:rsidP="00604DA0">
      <w:pPr>
        <w:spacing w:after="0" w:line="240" w:lineRule="auto"/>
        <w:rPr>
          <w:rFonts w:cs="Arial"/>
          <w:i/>
        </w:rPr>
      </w:pPr>
      <w:r w:rsidRPr="00604DA0">
        <w:rPr>
          <w:rFonts w:cs="Arial"/>
          <w:i/>
        </w:rPr>
        <w:t>3.2.3 Stijging inwonerbijdrage door toename inwoneraantal</w:t>
      </w:r>
    </w:p>
    <w:p w:rsidR="00604DA0" w:rsidRPr="00604DA0" w:rsidRDefault="00604DA0" w:rsidP="00604DA0">
      <w:r w:rsidRPr="00604DA0">
        <w:t xml:space="preserve">De inwonerbijdrage voor openbare gezondheid, jeugdgezond en Veiligheidshuis beweegt mee met het aantal inwoners. De toename van het aantal inwoners (2939) leidt tot een kostenstijging van € 50.000. </w:t>
      </w:r>
    </w:p>
    <w:p w:rsidR="00604DA0" w:rsidRPr="00604DA0" w:rsidRDefault="00604DA0" w:rsidP="00604DA0">
      <w:pPr>
        <w:rPr>
          <w:b/>
          <w:color w:val="548DD4" w:themeColor="text2" w:themeTint="99"/>
        </w:rPr>
      </w:pPr>
      <w:r w:rsidRPr="00604DA0">
        <w:rPr>
          <w:b/>
          <w:color w:val="548DD4" w:themeColor="text2" w:themeTint="99"/>
        </w:rPr>
        <w:t>Autonome ontwikkelingen</w:t>
      </w:r>
    </w:p>
    <w:p w:rsidR="00604DA0" w:rsidRDefault="00604DA0" w:rsidP="00604DA0">
      <w:pPr>
        <w:spacing w:after="0" w:line="240" w:lineRule="auto"/>
        <w:rPr>
          <w:i/>
        </w:rPr>
      </w:pPr>
      <w:r w:rsidRPr="00604DA0">
        <w:rPr>
          <w:i/>
        </w:rPr>
        <w:t>3.3.1 BTW compensatie Schipholconvenant</w:t>
      </w:r>
    </w:p>
    <w:p w:rsidR="00C3509E" w:rsidRDefault="00C3509E" w:rsidP="00C3509E">
      <w:r>
        <w:t>In 2014 is de Wet veiligheidsregio’s gewijzigd, als gevolg waarvan btw compensatie voor brandweeractiviteiten niet meer mogelijk is. Dat had financieel consequenties voor het convenant dat met Schiphol is afgesloten over de basisbrandweerzorg. Besloten is dat het negatieve effect van de wetswijziging op dit convenant ter grootte van € 246.000 – tijdelijk tot 2018 – gelijkelijk wordt verdeeld tussen Schiphol en de VRK. Tevens was de afspraak gemaakt dat in die periode gezocht zou worden naar oplossingen om de verschuldigde BTW gecompenseerd te krijgen. Alle inspanning ten spijt heeft dit niet het gewenste resultaat opgeleverd. Nu alle opties lijken uitgeput, is er geen andere conclusie mogelijk dan dit nadeel als gegeven te nemen en het negatieve financiële effect dat met zich meebrengt in de begroting te verwerken. Met ingang van 2018 komt het gehele negatieve effect dus voor rekening van de VRK.  Dekking van de kosten heeft binnen de bestaande kaders plaats kunnen vinden.</w:t>
      </w:r>
    </w:p>
    <w:p w:rsidR="00604DA0" w:rsidRPr="00604DA0" w:rsidRDefault="00604DA0" w:rsidP="00604DA0">
      <w:pPr>
        <w:spacing w:after="0" w:line="240" w:lineRule="auto"/>
        <w:rPr>
          <w:i/>
        </w:rPr>
      </w:pPr>
      <w:r w:rsidRPr="00604DA0">
        <w:rPr>
          <w:i/>
        </w:rPr>
        <w:t>3.3.2 Wegvallen OMS inkomsten</w:t>
      </w:r>
    </w:p>
    <w:p w:rsidR="00604DA0" w:rsidRPr="00604DA0" w:rsidRDefault="00604DA0" w:rsidP="00604DA0">
      <w:r w:rsidRPr="00604DA0">
        <w:t xml:space="preserve">In de 2e </w:t>
      </w:r>
      <w:proofErr w:type="spellStart"/>
      <w:r w:rsidRPr="00604DA0">
        <w:t>bestuursrapportage</w:t>
      </w:r>
      <w:proofErr w:type="spellEnd"/>
      <w:r w:rsidRPr="00604DA0">
        <w:t xml:space="preserve"> 2016 is melding gemaakt van het feit dat de OMS-inkomsten met ingang van 2017 voor een groot deel zullen komen te vervallen. Daarbij is er van uit gegaan dat in de nieuwe opzet (via meerdere aanbieders) nog kosten tot een bedrag van € 50.000 verhaald zouden kunnen worden. Inmiddels is landelijk besloten dat de OMS-meldingen in de toekomst via de Landelijke Meldkamer in Driebergen zullen gaan lopen. Hiermee vervalt de mogelijkheid tot kostenverhaal voor </w:t>
      </w:r>
      <w:r w:rsidRPr="00604DA0">
        <w:lastRenderedPageBreak/>
        <w:t xml:space="preserve">de VRK. Het in de 2e </w:t>
      </w:r>
      <w:proofErr w:type="spellStart"/>
      <w:r w:rsidRPr="00604DA0">
        <w:t>bestuursrapportage</w:t>
      </w:r>
      <w:proofErr w:type="spellEnd"/>
      <w:r w:rsidRPr="00604DA0">
        <w:t xml:space="preserve"> gemelde nadeel loopt hiermee op tot € 300.000 structureel. Door scherp in te zetten op efficiency, het stellen van prioriteiten en slim te organiseren kan dit nadeel binnen de bestaande kaders worden opgevangen.</w:t>
      </w:r>
    </w:p>
    <w:p w:rsidR="00604DA0" w:rsidRPr="00604DA0" w:rsidRDefault="00604DA0" w:rsidP="00604DA0">
      <w:pPr>
        <w:spacing w:after="0" w:line="240" w:lineRule="auto"/>
        <w:rPr>
          <w:i/>
        </w:rPr>
      </w:pPr>
      <w:r w:rsidRPr="00604DA0">
        <w:rPr>
          <w:i/>
        </w:rPr>
        <w:t>3.3.3 Convenant Tata Steel</w:t>
      </w:r>
    </w:p>
    <w:p w:rsidR="00604DA0" w:rsidRPr="00604DA0" w:rsidRDefault="00604DA0" w:rsidP="00604DA0">
      <w:r w:rsidRPr="00604DA0">
        <w:t>Met Tata Steel zijn afspraken gemaakt over het gebruik van het meldkamersysteem, scholing en beheer. Hiervoor is een jaarlijkse vergoeding afgesproken. De vergoeding leidt tot extra inkomsten van € 25.000 structureel.</w:t>
      </w:r>
    </w:p>
    <w:p w:rsidR="00604DA0" w:rsidRPr="00604DA0" w:rsidRDefault="00604DA0" w:rsidP="00604DA0">
      <w:pPr>
        <w:spacing w:after="0" w:line="240" w:lineRule="auto"/>
        <w:rPr>
          <w:i/>
        </w:rPr>
      </w:pPr>
      <w:r w:rsidRPr="00604DA0">
        <w:rPr>
          <w:i/>
        </w:rPr>
        <w:t>3.3.4 Rijksvaccinatieprogramma (RVP)</w:t>
      </w:r>
    </w:p>
    <w:p w:rsidR="00604DA0" w:rsidRPr="00604DA0" w:rsidRDefault="00604DA0" w:rsidP="00604DA0">
      <w:pPr>
        <w:rPr>
          <w:i/>
        </w:rPr>
      </w:pPr>
      <w:r w:rsidRPr="00604DA0">
        <w:t xml:space="preserve">Het Rijksvaccinatieprogramma (RVP) werd tot voor kort bekostigd via het Rijksinstituut voor Volksgezondheid en Milieu (RIVM). In 2018 gaat de bekostiging lopen via de gemeenten. De gemeenten worden verplicht om het RVP te laten uitvoeren door de organisatie, die de JGZ uitvoert. De GGD voert voor alle gemeenten in de regio de JGZ 4-18 uit en in de gemeente Haarlemmermeer ook de JGZ 0-4.  Het met de uitvoering gemoeide budget wordt overgeheveld van de rijksbegroting (ministerie van VWS) naar het gemeentefonds. Er verandert dus niets aan de uitvoeringskosten ad    € 368.000, maar de dekking vindt plaats uit een hogere inwonerbijdrage (4-19) en een hogere subsidieontvangst (0-4). </w:t>
      </w:r>
    </w:p>
    <w:p w:rsidR="00604DA0" w:rsidRPr="00604DA0" w:rsidRDefault="00604DA0" w:rsidP="00604DA0">
      <w:pPr>
        <w:spacing w:after="0" w:line="240" w:lineRule="auto"/>
        <w:rPr>
          <w:i/>
        </w:rPr>
      </w:pPr>
      <w:r w:rsidRPr="00604DA0">
        <w:rPr>
          <w:i/>
        </w:rPr>
        <w:t xml:space="preserve">3.3.5 </w:t>
      </w:r>
      <w:proofErr w:type="spellStart"/>
      <w:r w:rsidRPr="00604DA0">
        <w:rPr>
          <w:i/>
        </w:rPr>
        <w:t>Vroegsignaleringsoverleg</w:t>
      </w:r>
      <w:proofErr w:type="spellEnd"/>
      <w:r w:rsidRPr="00604DA0">
        <w:rPr>
          <w:i/>
        </w:rPr>
        <w:t xml:space="preserve"> (VSO) voor personen met verward gedrag </w:t>
      </w:r>
    </w:p>
    <w:p w:rsidR="00604DA0" w:rsidRPr="00604DA0" w:rsidRDefault="00604DA0" w:rsidP="00604DA0">
      <w:pPr>
        <w:rPr>
          <w:rFonts w:ascii="Calibri" w:eastAsia="Times New Roman" w:hAnsi="Calibri" w:cs="Times New Roman"/>
          <w:color w:val="000000"/>
          <w:lang w:eastAsia="nl-NL"/>
        </w:rPr>
      </w:pPr>
      <w:r w:rsidRPr="00604DA0">
        <w:t xml:space="preserve">In opdracht van het bestuur heeft de GGD namens de gemeenten de regie op zich genomen om via een aantal stappen te komen tot een sluitende aanpak van personen met verward gedrag. Een van de onderdelen van die aanpak is het </w:t>
      </w:r>
      <w:proofErr w:type="spellStart"/>
      <w:r w:rsidRPr="00604DA0">
        <w:t>Vroegsignaleringsoverleg</w:t>
      </w:r>
      <w:proofErr w:type="spellEnd"/>
      <w:r w:rsidRPr="00604DA0">
        <w:t xml:space="preserve"> (VSO) waarmee Kennemerland met ingang van mei 2016 werkt. Per basisteam van de politie vindt, onder het motto ‘klein, snel en samen’, afstemming plaats tussen de partners van </w:t>
      </w:r>
      <w:proofErr w:type="spellStart"/>
      <w:r w:rsidRPr="00604DA0">
        <w:t>Brijder</w:t>
      </w:r>
      <w:proofErr w:type="spellEnd"/>
      <w:r w:rsidRPr="00604DA0">
        <w:t xml:space="preserve"> verslavingszorg, GGZ, Politie en GGD. Het doel is om mensen die verward gedrag vertonen, tijdig naar zorg toe te leiden, waarmee ook (mogelijke) overlast afneemt. De pilot is positief ontvangen en wordt voortgezet. </w:t>
      </w:r>
      <w:r w:rsidRPr="00604DA0">
        <w:rPr>
          <w:rFonts w:ascii="Calibri" w:eastAsia="Times New Roman" w:hAnsi="Calibri" w:cs="Times New Roman"/>
          <w:color w:val="000000"/>
          <w:lang w:eastAsia="nl-NL"/>
        </w:rPr>
        <w:t>De kosten, die voor de GGD gemoeid zijn met deze uitbreiding van taken</w:t>
      </w:r>
      <w:r w:rsidR="00FF3469">
        <w:rPr>
          <w:rFonts w:ascii="Calibri" w:eastAsia="Times New Roman" w:hAnsi="Calibri" w:cs="Times New Roman"/>
          <w:color w:val="000000"/>
          <w:lang w:eastAsia="nl-NL"/>
        </w:rPr>
        <w:t xml:space="preserve"> compensatie voor de inzet van partners, </w:t>
      </w:r>
      <w:r w:rsidRPr="00604DA0">
        <w:rPr>
          <w:rFonts w:ascii="Calibri" w:eastAsia="Times New Roman" w:hAnsi="Calibri" w:cs="Times New Roman"/>
          <w:color w:val="000000"/>
          <w:lang w:eastAsia="nl-NL"/>
        </w:rPr>
        <w:t>, bedragen € 1</w:t>
      </w:r>
      <w:r w:rsidR="00FF3469">
        <w:rPr>
          <w:rFonts w:ascii="Calibri" w:eastAsia="Times New Roman" w:hAnsi="Calibri" w:cs="Times New Roman"/>
          <w:color w:val="000000"/>
          <w:lang w:eastAsia="nl-NL"/>
        </w:rPr>
        <w:t>5</w:t>
      </w:r>
      <w:r w:rsidR="00784D07">
        <w:rPr>
          <w:rFonts w:ascii="Calibri" w:eastAsia="Times New Roman" w:hAnsi="Calibri" w:cs="Times New Roman"/>
          <w:color w:val="000000"/>
          <w:lang w:eastAsia="nl-NL"/>
        </w:rPr>
        <w:t xml:space="preserve">0.000 structureel. </w:t>
      </w:r>
    </w:p>
    <w:p w:rsidR="00604DA0" w:rsidRPr="00604DA0" w:rsidRDefault="00604DA0" w:rsidP="00604DA0">
      <w:pPr>
        <w:spacing w:after="0" w:line="240" w:lineRule="auto"/>
        <w:rPr>
          <w:i/>
          <w:lang w:eastAsia="nl-NL"/>
        </w:rPr>
      </w:pPr>
      <w:r w:rsidRPr="00604DA0">
        <w:rPr>
          <w:i/>
          <w:lang w:eastAsia="nl-NL"/>
        </w:rPr>
        <w:t xml:space="preserve">3.3.6 Toename bijdrage zorgverzekeraar ambulancezorg </w:t>
      </w:r>
    </w:p>
    <w:p w:rsidR="00604DA0" w:rsidRPr="00604DA0" w:rsidRDefault="00604DA0" w:rsidP="00604DA0">
      <w:pPr>
        <w:rPr>
          <w:lang w:eastAsia="nl-NL"/>
        </w:rPr>
      </w:pPr>
      <w:r w:rsidRPr="00604DA0">
        <w:rPr>
          <w:lang w:eastAsia="nl-NL"/>
        </w:rPr>
        <w:t>De inkomsten van de sector ambulancezorg stijgen met € 134.000 vanwege prijsindexering door de Nederlandse Zorgautoriteit (NZA).</w:t>
      </w:r>
    </w:p>
    <w:p w:rsidR="00604DA0" w:rsidRPr="00604DA0" w:rsidRDefault="00604DA0" w:rsidP="00604DA0">
      <w:pPr>
        <w:spacing w:after="0" w:line="240" w:lineRule="auto"/>
        <w:rPr>
          <w:i/>
          <w:lang w:eastAsia="nl-NL"/>
        </w:rPr>
      </w:pPr>
      <w:r w:rsidRPr="00604DA0">
        <w:rPr>
          <w:i/>
          <w:lang w:eastAsia="nl-NL"/>
        </w:rPr>
        <w:t>3.3.7 Toename subsidie-inkomsten</w:t>
      </w:r>
    </w:p>
    <w:p w:rsidR="00604DA0" w:rsidRPr="00604DA0" w:rsidRDefault="00604DA0" w:rsidP="00604DA0">
      <w:pPr>
        <w:rPr>
          <w:lang w:eastAsia="nl-NL"/>
        </w:rPr>
      </w:pPr>
      <w:r w:rsidRPr="00604DA0">
        <w:rPr>
          <w:lang w:eastAsia="nl-NL"/>
        </w:rPr>
        <w:t>Als gevolg van nominale ontwikkeling nemen de subsidie-inkomsten met € 55.000 toe.</w:t>
      </w:r>
    </w:p>
    <w:p w:rsidR="00604DA0" w:rsidRPr="00604DA0" w:rsidRDefault="00604DA0" w:rsidP="00604DA0">
      <w:pPr>
        <w:spacing w:after="0" w:line="240" w:lineRule="auto"/>
        <w:rPr>
          <w:i/>
          <w:lang w:eastAsia="nl-NL"/>
        </w:rPr>
      </w:pPr>
      <w:r w:rsidRPr="00604DA0">
        <w:rPr>
          <w:i/>
          <w:lang w:eastAsia="nl-NL"/>
        </w:rPr>
        <w:t>3.3.8 Actualisatie MJIP 2018-2021</w:t>
      </w:r>
    </w:p>
    <w:p w:rsidR="00604DA0" w:rsidRPr="00604DA0" w:rsidRDefault="00604DA0" w:rsidP="00604DA0">
      <w:pPr>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 xml:space="preserve">Onderdeel van de programmabegroting is de actualisatie van het </w:t>
      </w:r>
      <w:proofErr w:type="spellStart"/>
      <w:r w:rsidRPr="00604DA0">
        <w:rPr>
          <w:rFonts w:ascii="Calibri" w:eastAsia="Times New Roman" w:hAnsi="Calibri" w:cs="Times New Roman"/>
          <w:color w:val="000000"/>
          <w:lang w:eastAsia="nl-NL"/>
        </w:rPr>
        <w:t>Meerjareninvesteringsplan</w:t>
      </w:r>
      <w:proofErr w:type="spellEnd"/>
      <w:r w:rsidRPr="00604DA0">
        <w:rPr>
          <w:rFonts w:ascii="Calibri" w:eastAsia="Times New Roman" w:hAnsi="Calibri" w:cs="Times New Roman"/>
          <w:color w:val="000000"/>
          <w:lang w:eastAsia="nl-NL"/>
        </w:rPr>
        <w:t>. Het kader kapitaallasten is, ten opzichte van de Programmabegroting 2017, verhoogd met € 184.000. Deze verhoging betreft met name de dekking binnen de brandweerbegroting van investeringen die nodig waren om de arbeidshygiëne te verbeteren (niet zijn de  bouwtechnische aanpassingen). Daarnaast dekking voor investeringen in kader van versterkt beleid voorkomend uit het MJIP 2017-2021 t.w. materieel voor rietkapbrandbestrijding en drie tankautospuiten (incl. bepakking).</w:t>
      </w:r>
    </w:p>
    <w:p w:rsidR="00FF3469" w:rsidRDefault="00FF3469" w:rsidP="00604DA0">
      <w:pPr>
        <w:rPr>
          <w:lang w:eastAsia="nl-NL"/>
        </w:rPr>
      </w:pPr>
    </w:p>
    <w:p w:rsidR="00604DA0" w:rsidRPr="00604DA0" w:rsidRDefault="00604DA0" w:rsidP="00604DA0">
      <w:pPr>
        <w:rPr>
          <w:lang w:eastAsia="nl-NL"/>
        </w:rPr>
      </w:pPr>
      <w:r w:rsidRPr="00604DA0">
        <w:rPr>
          <w:lang w:eastAsia="nl-NL"/>
        </w:rPr>
        <w:t xml:space="preserve">In de programmabegroting 2017 werd  rekening gehouden met het feit  dat jaarlijks gemiddeld € 2,5 miljoen aan investeringen wordt overgeheveld naar 2018. Dat leidt tot een jaarlijks te verwachten </w:t>
      </w:r>
      <w:proofErr w:type="spellStart"/>
      <w:r w:rsidRPr="00604DA0">
        <w:rPr>
          <w:lang w:eastAsia="nl-NL"/>
        </w:rPr>
        <w:lastRenderedPageBreak/>
        <w:t>onderuitputting</w:t>
      </w:r>
      <w:proofErr w:type="spellEnd"/>
      <w:r w:rsidRPr="00604DA0">
        <w:rPr>
          <w:lang w:eastAsia="nl-NL"/>
        </w:rPr>
        <w:t xml:space="preserve"> van € 200.000 tot € 300.000, als gevolg van vertraagde investeringen. Aangezien er meer aanbestedingen  geclusterd worden en hiermee de  inkoopcapaciteit  beter ingezet kan worden, bestaat de verwachting dat de voorgenomen investeringen komende jaren binnen de geplande jaarschijf uitgevoerd kunnen worden. In de programmabegroting 2018-2022 wordt er daarom vanuit gegaan dat de verwachte </w:t>
      </w:r>
      <w:proofErr w:type="spellStart"/>
      <w:r w:rsidRPr="00604DA0">
        <w:rPr>
          <w:lang w:eastAsia="nl-NL"/>
        </w:rPr>
        <w:t>onderuitputting</w:t>
      </w:r>
      <w:proofErr w:type="spellEnd"/>
      <w:r w:rsidRPr="00604DA0">
        <w:rPr>
          <w:lang w:eastAsia="nl-NL"/>
        </w:rPr>
        <w:t xml:space="preserve"> de € 200.000 niet te boven gaat.</w:t>
      </w:r>
    </w:p>
    <w:p w:rsidR="00604DA0" w:rsidRPr="00604DA0" w:rsidRDefault="00604DA0" w:rsidP="00604DA0">
      <w:pPr>
        <w:rPr>
          <w:lang w:eastAsia="nl-NL"/>
        </w:rPr>
      </w:pPr>
      <w:r w:rsidRPr="00604DA0">
        <w:rPr>
          <w:lang w:eastAsia="nl-NL"/>
        </w:rPr>
        <w:t>In dit investeringsplan is rekening gehouden met lasten vanaf 2018 voor de herinrichting van het terrein Zijlweg. Deze kosten worden gedekt binnen het budget kapitaallasten van Huisvesting. In 2016 is een voorbereidingskrediet beschikbaar gesteld.  De definitieve uitwerking  en uiteindelijke financiële consequenties van deze herinrichting zal apart in besluitvorming worden gegeven.</w:t>
      </w:r>
    </w:p>
    <w:p w:rsidR="00604DA0" w:rsidRPr="00604DA0" w:rsidRDefault="00660CD8" w:rsidP="00604DA0">
      <w:pPr>
        <w:rPr>
          <w:lang w:eastAsia="nl-NL"/>
        </w:rPr>
      </w:pPr>
      <w:r w:rsidRPr="00660CD8">
        <w:rPr>
          <w:noProof/>
          <w:lang w:eastAsia="nl-NL"/>
        </w:rPr>
        <w:drawing>
          <wp:inline distT="0" distB="0" distL="0" distR="0">
            <wp:extent cx="5156835" cy="2594610"/>
            <wp:effectExtent l="0" t="0" r="571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56835" cy="2594610"/>
                    </a:xfrm>
                    <a:prstGeom prst="rect">
                      <a:avLst/>
                    </a:prstGeom>
                    <a:noFill/>
                    <a:ln>
                      <a:noFill/>
                    </a:ln>
                  </pic:spPr>
                </pic:pic>
              </a:graphicData>
            </a:graphic>
          </wp:inline>
        </w:drawing>
      </w:r>
    </w:p>
    <w:p w:rsidR="00970C43" w:rsidRDefault="00970C43" w:rsidP="00970C43">
      <w:pPr>
        <w:spacing w:after="0" w:line="240" w:lineRule="auto"/>
        <w:rPr>
          <w:i/>
          <w:lang w:eastAsia="nl-NL"/>
        </w:rPr>
      </w:pPr>
      <w:r w:rsidRPr="00604DA0">
        <w:rPr>
          <w:i/>
          <w:lang w:eastAsia="nl-NL"/>
        </w:rPr>
        <w:t>3.3.</w:t>
      </w:r>
      <w:r w:rsidR="00FD165C">
        <w:rPr>
          <w:i/>
          <w:lang w:eastAsia="nl-NL"/>
        </w:rPr>
        <w:t>8</w:t>
      </w:r>
      <w:r w:rsidRPr="00604DA0">
        <w:rPr>
          <w:i/>
          <w:lang w:eastAsia="nl-NL"/>
        </w:rPr>
        <w:t xml:space="preserve">. </w:t>
      </w:r>
      <w:r>
        <w:rPr>
          <w:i/>
          <w:lang w:eastAsia="nl-NL"/>
        </w:rPr>
        <w:t>Vervanging meubilair in MJIP i.p.v. budgetoverheveling jaarverslag 2016</w:t>
      </w:r>
    </w:p>
    <w:p w:rsidR="00F85F1F" w:rsidRPr="00F85F1F" w:rsidRDefault="00F85F1F" w:rsidP="00F85F1F">
      <w:pPr>
        <w:rPr>
          <w:lang w:eastAsia="nl-NL"/>
        </w:rPr>
      </w:pPr>
      <w:r>
        <w:rPr>
          <w:lang w:eastAsia="nl-NL"/>
        </w:rPr>
        <w:t xml:space="preserve">In 2017 wordt </w:t>
      </w:r>
      <w:r w:rsidR="00503EA3">
        <w:rPr>
          <w:lang w:eastAsia="nl-NL"/>
        </w:rPr>
        <w:t>er geïnvesteerd</w:t>
      </w:r>
      <w:r>
        <w:rPr>
          <w:lang w:eastAsia="nl-NL"/>
        </w:rPr>
        <w:t xml:space="preserve"> in </w:t>
      </w:r>
      <w:proofErr w:type="spellStart"/>
      <w:r>
        <w:rPr>
          <w:lang w:eastAsia="nl-NL"/>
        </w:rPr>
        <w:t>flexmeubilair</w:t>
      </w:r>
      <w:proofErr w:type="spellEnd"/>
      <w:r>
        <w:rPr>
          <w:lang w:eastAsia="nl-NL"/>
        </w:rPr>
        <w:t xml:space="preserve"> als gevolg va het nieuwe werken</w:t>
      </w:r>
      <w:r w:rsidR="00503EA3">
        <w:rPr>
          <w:lang w:eastAsia="nl-NL"/>
        </w:rPr>
        <w:t>.</w:t>
      </w:r>
      <w:r>
        <w:rPr>
          <w:lang w:eastAsia="nl-NL"/>
        </w:rPr>
        <w:t xml:space="preserve"> De kapitaallasten zijn met ingang van 2018 opgenomen in de begroting in plaat</w:t>
      </w:r>
      <w:r w:rsidR="00503EA3">
        <w:rPr>
          <w:lang w:eastAsia="nl-NL"/>
        </w:rPr>
        <w:t>s</w:t>
      </w:r>
      <w:r>
        <w:rPr>
          <w:lang w:eastAsia="nl-NL"/>
        </w:rPr>
        <w:t xml:space="preserve"> van een budgetoverheveling bij het jaarverslag 2016.</w:t>
      </w:r>
    </w:p>
    <w:p w:rsidR="00604DA0" w:rsidRPr="00604DA0" w:rsidRDefault="00604DA0" w:rsidP="00604DA0">
      <w:pPr>
        <w:spacing w:after="0" w:line="240" w:lineRule="auto"/>
        <w:rPr>
          <w:i/>
          <w:lang w:eastAsia="nl-NL"/>
        </w:rPr>
      </w:pPr>
      <w:r w:rsidRPr="00604DA0">
        <w:rPr>
          <w:i/>
          <w:lang w:eastAsia="nl-NL"/>
        </w:rPr>
        <w:t>3.3.9. Vernieuwing BBV rentetoerekening</w:t>
      </w:r>
    </w:p>
    <w:p w:rsidR="00604DA0" w:rsidRDefault="00604DA0" w:rsidP="00604DA0">
      <w:pPr>
        <w:rPr>
          <w:lang w:eastAsia="nl-NL"/>
        </w:rPr>
      </w:pPr>
      <w:r w:rsidRPr="00604DA0">
        <w:rPr>
          <w:lang w:eastAsia="nl-NL"/>
        </w:rPr>
        <w:t>In het wijzigingsbesluit Besluit begroting en verantwoording (BBV) is opgenomen, dat de rentekosten aan de desbetreffende taakvelden moeten worden toegerekend met behulp van een (rente)omslag.  De paragraaf 4.3 financiering geeft inzicht in de rentelasten uit externe financiering, het renteresultaat en de wijze van rentetoerekening.  De rentetoerekening resulteert in een rente-omslagpercentage van 2,5%. De begroting is hierop bijgesteld.</w:t>
      </w:r>
    </w:p>
    <w:p w:rsidR="00604DA0" w:rsidRPr="00604DA0" w:rsidRDefault="00604DA0" w:rsidP="00604DA0">
      <w:pPr>
        <w:spacing w:after="0" w:line="240" w:lineRule="auto"/>
        <w:rPr>
          <w:i/>
          <w:lang w:eastAsia="nl-NL"/>
        </w:rPr>
      </w:pPr>
      <w:r w:rsidRPr="00604DA0">
        <w:rPr>
          <w:i/>
          <w:lang w:eastAsia="nl-NL"/>
        </w:rPr>
        <w:t>3.3.10 Verhoging dotatie voorziening groot onderhoud</w:t>
      </w:r>
    </w:p>
    <w:p w:rsidR="00604DA0" w:rsidRDefault="00604DA0" w:rsidP="00604DA0">
      <w:r w:rsidRPr="00604DA0">
        <w:t xml:space="preserve">In de achterliggende jaren zijn i.v.m. plannen tot aanpassing en verbouwing de dotaties aan de onderhoudsvoorzieningen beperkt.  Nu een aantal verbouwingen is afgerond, zijn de </w:t>
      </w:r>
      <w:proofErr w:type="spellStart"/>
      <w:r w:rsidRPr="00604DA0">
        <w:t>Meerjarenonderhoudsplannen</w:t>
      </w:r>
      <w:proofErr w:type="spellEnd"/>
      <w:r w:rsidRPr="00604DA0">
        <w:t xml:space="preserve"> opnieuw bezien. Hieruit volgt dat jaarlijks vanaf 2020 € 97.000 meer gedoteerd zal moeten worden.</w:t>
      </w:r>
    </w:p>
    <w:p w:rsidR="005B7C2C" w:rsidRPr="00604DA0" w:rsidRDefault="005B7C2C" w:rsidP="005B7C2C">
      <w:pPr>
        <w:spacing w:after="0" w:line="240" w:lineRule="auto"/>
        <w:rPr>
          <w:i/>
          <w:lang w:eastAsia="nl-NL"/>
        </w:rPr>
      </w:pPr>
      <w:r>
        <w:rPr>
          <w:i/>
          <w:lang w:eastAsia="nl-NL"/>
        </w:rPr>
        <w:t>3.3.11Verhuur Mick gebouw aan meldkamer Noord Holland</w:t>
      </w:r>
    </w:p>
    <w:p w:rsidR="005B7C2C" w:rsidRPr="00604DA0" w:rsidRDefault="002B42CD" w:rsidP="00604DA0">
      <w:r>
        <w:t>Medio 2018 wordt het MICK gebouw volledig verhuurd aan meldkamer Noord Holland. In oude situatie werd het gebouw ook gebruikt door andere organisatieonderdelen. Dit leidt tot een besparing van €  180.000 structureel.</w:t>
      </w:r>
    </w:p>
    <w:p w:rsidR="00604DA0" w:rsidRPr="00604DA0" w:rsidRDefault="00604DA0" w:rsidP="00604DA0">
      <w:pPr>
        <w:spacing w:after="0" w:line="240" w:lineRule="auto"/>
        <w:rPr>
          <w:i/>
          <w:lang w:eastAsia="nl-NL"/>
        </w:rPr>
      </w:pPr>
      <w:r w:rsidRPr="00604DA0">
        <w:rPr>
          <w:i/>
          <w:lang w:eastAsia="nl-NL"/>
        </w:rPr>
        <w:lastRenderedPageBreak/>
        <w:t>3.3.1</w:t>
      </w:r>
      <w:r w:rsidR="005B7C2C">
        <w:rPr>
          <w:i/>
          <w:lang w:eastAsia="nl-NL"/>
        </w:rPr>
        <w:t>2</w:t>
      </w:r>
      <w:r w:rsidRPr="00604DA0">
        <w:rPr>
          <w:i/>
          <w:lang w:eastAsia="nl-NL"/>
        </w:rPr>
        <w:t>. Toename kosten dataverkeer en licenties</w:t>
      </w:r>
    </w:p>
    <w:p w:rsidR="00604DA0" w:rsidRPr="00604DA0" w:rsidRDefault="00604DA0" w:rsidP="00604DA0">
      <w:r w:rsidRPr="00604DA0">
        <w:rPr>
          <w:rFonts w:ascii="Calibri" w:eastAsia="Times New Roman" w:hAnsi="Calibri" w:cs="Times New Roman"/>
          <w:color w:val="000000"/>
          <w:lang w:eastAsia="nl-NL"/>
        </w:rPr>
        <w:t xml:space="preserve">De voortschrijdende digitalisering heeft tot gevolg dat er meer licenties nodig zijn en meer gebruik wordt gemaakt van dataverkeer capaciteit. De voordelen van digitalisering worden echter pas op termijn vanaf 2019 zichtbaar. De kostentoename ad. € 250.000 is structureel in de begroting verwerkt. De besparing loopt van </w:t>
      </w:r>
      <w:r w:rsidRPr="00604DA0">
        <w:t>€ 77.000 in 2019 op tot € 366.000 structureel in 2021. Zie ook 5.5.2.</w:t>
      </w:r>
    </w:p>
    <w:p w:rsidR="00604DA0" w:rsidRPr="00604DA0" w:rsidRDefault="00604DA0" w:rsidP="00604DA0">
      <w:pPr>
        <w:spacing w:after="0" w:line="240" w:lineRule="auto"/>
        <w:rPr>
          <w:i/>
          <w:lang w:eastAsia="nl-NL"/>
        </w:rPr>
      </w:pPr>
      <w:r w:rsidRPr="00604DA0">
        <w:rPr>
          <w:i/>
          <w:lang w:eastAsia="nl-NL"/>
        </w:rPr>
        <w:t>3.3.1</w:t>
      </w:r>
      <w:r w:rsidR="005B7C2C">
        <w:rPr>
          <w:i/>
          <w:lang w:eastAsia="nl-NL"/>
        </w:rPr>
        <w:t>3</w:t>
      </w:r>
      <w:r w:rsidRPr="00604DA0">
        <w:rPr>
          <w:i/>
          <w:lang w:eastAsia="nl-NL"/>
        </w:rPr>
        <w:t>. Extra taken Veiligheidshuis + CTER</w:t>
      </w:r>
    </w:p>
    <w:p w:rsidR="00604DA0" w:rsidRPr="00604DA0" w:rsidRDefault="00604DA0" w:rsidP="00604DA0">
      <w:pPr>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 xml:space="preserve">Vanuit de maatschappij is er steeds meer aandacht voor de verbinding tussen zorg en veiligheid. Meer bekendheid van het Veiligheidshuis, de ontwikkelingen in het sociale domein waarmee gemeenten meer verantwoordelijkheden hebben gekregen en  ontwikkelingen in het justitieel domein hebben geresulteerd in een verdriedubbeling van het aantal casussen dat in het Veiligheidshuis wordt behandeld sinds 2013. Daarnaast is het aantal zaken waarin advies wordt gevraagd sterk toegenomen. Dit resulteert in een autonome ontwikkeling van structureel € 95.000 per jaar.  Naast de reguliere taken heeft het Veiligheidshuis ook extra nieuwe taken gekregen, bijvoorbeeld  op het gebied van radicalisering en extremisme (ondergebracht in het programma CTER: Contra Terrorisme, Extremisme en Radicalisering). CTER betreft nieuw beleid en vergt een structurele extra inzet van € 30.000 per jaar. </w:t>
      </w:r>
    </w:p>
    <w:p w:rsidR="00604DA0" w:rsidRDefault="00604DA0" w:rsidP="00604DA0">
      <w:pPr>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Deze extra taken zijn niet gepaard gegaan met een bijdrage vanuit de gemeenten. De niet voorziene kosten worden in 2016 en 2017 gedekt uit de reserve Veiligheidshuis. De reserve is beperkt en vanaf 2018 wordt een structureel tekort verwacht voor het programma Veiligheidshuis van circa  € 125.000 (autonome stijging casussen en CTER).</w:t>
      </w:r>
    </w:p>
    <w:p w:rsidR="005B7C2C" w:rsidRPr="00604DA0" w:rsidRDefault="005B7C2C" w:rsidP="005B7C2C">
      <w:pPr>
        <w:spacing w:after="0" w:line="240" w:lineRule="auto"/>
        <w:rPr>
          <w:i/>
        </w:rPr>
      </w:pPr>
      <w:r>
        <w:rPr>
          <w:i/>
        </w:rPr>
        <w:t xml:space="preserve">3.3.14 </w:t>
      </w:r>
      <w:r w:rsidRPr="00604DA0">
        <w:rPr>
          <w:i/>
        </w:rPr>
        <w:t xml:space="preserve"> Elektronische leeromgeving</w:t>
      </w:r>
    </w:p>
    <w:p w:rsidR="005B7C2C" w:rsidRPr="00604DA0" w:rsidRDefault="005B7C2C" w:rsidP="005B7C2C">
      <w:pPr>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 xml:space="preserve">Het Veiligheidsberaad heeft in 2014 het besluit genomen tot invoering van de Elektronische Leeromgeving voor de brandweer (ELO genoemd). De ELO is een online onderwijssysteem voor alle brandweerregio’s in Nederland. De vier regio’s in Noord West Nederland (NW4) – Kennemerland, Amsterdam-Amstelland, Zaanstreek-Waterland en Noord-Holland Noord – zijn inmiddels begonnen met de implementatie, met als einddoel toepassing van de ELO in 2018. Invoering gaat gepaard met initiële en structurele kosten. De initiële kosten hebben betrekking op de systeemimplementatie en onderhoud en bedragen € 75.000 voor 2018 en € 50.000 voor 2019. De structurele kosten bedragen met ingang  van </w:t>
      </w:r>
      <w:r>
        <w:rPr>
          <w:rFonts w:ascii="Calibri" w:eastAsia="Times New Roman" w:hAnsi="Calibri" w:cs="Times New Roman"/>
          <w:color w:val="000000"/>
          <w:lang w:eastAsia="nl-NL"/>
        </w:rPr>
        <w:t>2018</w:t>
      </w:r>
      <w:r w:rsidRPr="00604DA0">
        <w:rPr>
          <w:rFonts w:ascii="Calibri" w:eastAsia="Times New Roman" w:hAnsi="Calibri" w:cs="Times New Roman"/>
          <w:color w:val="000000"/>
          <w:lang w:eastAsia="nl-NL"/>
        </w:rPr>
        <w:t xml:space="preserve"> € 100.000 en zijn de kosten die gemaakt worden ten behoeve van docenten, instructeurs en trajectbegeleiders. Ook maken de licentiekosten en het functioneel beheer onderdeel uit van de structurele kosten.</w:t>
      </w:r>
    </w:p>
    <w:p w:rsidR="005B7C2C" w:rsidRPr="00604DA0" w:rsidRDefault="005B7C2C" w:rsidP="005B7C2C">
      <w:pPr>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Binnen het Veiligheidsbureau worden plannen uitgewerkt om de elektronische leeromgeving ook te gebruiken voor Multi-onderwijsactiviteiten.</w:t>
      </w:r>
    </w:p>
    <w:p w:rsidR="00604DA0" w:rsidRPr="00604DA0" w:rsidRDefault="00604DA0" w:rsidP="00604DA0">
      <w:pPr>
        <w:rPr>
          <w:b/>
          <w:color w:val="548DD4" w:themeColor="text2" w:themeTint="99"/>
        </w:rPr>
      </w:pPr>
      <w:r w:rsidRPr="00604DA0">
        <w:rPr>
          <w:rFonts w:ascii="Calibri" w:eastAsia="Times New Roman" w:hAnsi="Calibri" w:cs="Times New Roman"/>
          <w:color w:val="000000"/>
          <w:lang w:eastAsia="nl-NL"/>
        </w:rPr>
        <w:t xml:space="preserve"> </w:t>
      </w:r>
      <w:r w:rsidRPr="00604DA0">
        <w:rPr>
          <w:b/>
          <w:color w:val="548DD4" w:themeColor="text2" w:themeTint="99"/>
        </w:rPr>
        <w:t>Nieuw Beleid</w:t>
      </w:r>
    </w:p>
    <w:p w:rsidR="00604DA0" w:rsidRPr="00604DA0" w:rsidRDefault="00604DA0" w:rsidP="00604DA0">
      <w:pPr>
        <w:spacing w:after="0" w:line="240" w:lineRule="auto"/>
        <w:rPr>
          <w:i/>
        </w:rPr>
      </w:pPr>
      <w:r w:rsidRPr="00604DA0">
        <w:rPr>
          <w:i/>
        </w:rPr>
        <w:t>3.4.</w:t>
      </w:r>
      <w:r w:rsidR="00B326E4">
        <w:rPr>
          <w:i/>
        </w:rPr>
        <w:t>1</w:t>
      </w:r>
      <w:r w:rsidRPr="00604DA0">
        <w:rPr>
          <w:i/>
        </w:rPr>
        <w:t xml:space="preserve"> Herijking informatiemanagement beleid</w:t>
      </w:r>
    </w:p>
    <w:p w:rsidR="00604DA0" w:rsidRPr="00604DA0" w:rsidRDefault="00604DA0" w:rsidP="00604DA0">
      <w:r w:rsidRPr="00604DA0">
        <w:t xml:space="preserve">De recente ontwikkelingen met betrekking tot digitalisering, zaakgericht werken en de doorontwikkeling van </w:t>
      </w:r>
      <w:proofErr w:type="spellStart"/>
      <w:r w:rsidRPr="00604DA0">
        <w:t>geo</w:t>
      </w:r>
      <w:proofErr w:type="spellEnd"/>
      <w:r w:rsidRPr="00604DA0">
        <w:t xml:space="preserve">-informatie zijn inmiddels omgezet in concrete plannen van aanpak. Deze leiden niet tot extra kosten. </w:t>
      </w:r>
    </w:p>
    <w:p w:rsidR="00604DA0" w:rsidRPr="00604DA0" w:rsidRDefault="00604DA0" w:rsidP="00604DA0">
      <w:r w:rsidRPr="00604DA0">
        <w:t>De onderstaande ontwikkelingen zullen de komende jaren wel extra inzet en middelen vragen.</w:t>
      </w:r>
    </w:p>
    <w:p w:rsidR="00301149" w:rsidRDefault="00604DA0" w:rsidP="00604DA0">
      <w:r w:rsidRPr="00604DA0">
        <w:lastRenderedPageBreak/>
        <w:t>-Informatieveiligheid</w:t>
      </w:r>
      <w:r w:rsidRPr="00604DA0">
        <w:br/>
      </w:r>
      <w:r w:rsidR="00301149">
        <w:t xml:space="preserve">De noodzaak het onderwerp cybersecurity serieus te nemen wordt steeds groter. Niet in de laatste plaats omdat aan onverhoopte informatie- en datalekken op termijn (zware) sancties worden verbonden. Aan dit onderwerp wordt gezamenlijk gewerkt zowel binnen de </w:t>
      </w:r>
      <w:proofErr w:type="spellStart"/>
      <w:r w:rsidR="00301149">
        <w:t>GGDen</w:t>
      </w:r>
      <w:proofErr w:type="spellEnd"/>
      <w:r w:rsidR="00301149">
        <w:t xml:space="preserve"> als binnen de veiligheidsregio’s om kosten te besparen en kennis te delen. De kosten van extra maatregelen worden op termijn voor de VRK vooralsnog ingeschat op € 200.000 per jaar.</w:t>
      </w:r>
    </w:p>
    <w:p w:rsidR="00604DA0" w:rsidRPr="00604DA0" w:rsidRDefault="00604DA0" w:rsidP="00604DA0">
      <w:pPr>
        <w:spacing w:after="0" w:line="240" w:lineRule="auto"/>
        <w:rPr>
          <w:b/>
        </w:rPr>
      </w:pPr>
      <w:r w:rsidRPr="00604DA0">
        <w:rPr>
          <w:b/>
        </w:rPr>
        <w:t>-</w:t>
      </w:r>
      <w:r w:rsidRPr="00604DA0">
        <w:t>Informatie gestuurd werken</w:t>
      </w:r>
    </w:p>
    <w:p w:rsidR="00604DA0" w:rsidRPr="00604DA0" w:rsidRDefault="00604DA0" w:rsidP="00604DA0">
      <w:pPr>
        <w:jc w:val="both"/>
      </w:pPr>
      <w:r w:rsidRPr="00604DA0">
        <w:t xml:space="preserve">-De vraag om cijfermatige onderbouwing van de primaire processen is de afgelopen twee jaar exponentieel gegroeid. De rationalisering en professionalisering dwingt tot stevige ingrepen op het gebied van definities en standaardisatie, om zo te komen tot relevante, meetbare en vergelijkbare registraties. De  tijd is aangebroken om van de grond af het werk eenduidiger  te registreren en in nieuwe systemen tot management informatie te verwerken. De verwachte extra kosten worden op termijn geschat op € 150.000 per jaar.  </w:t>
      </w:r>
    </w:p>
    <w:p w:rsidR="00604DA0" w:rsidRPr="00604DA0" w:rsidRDefault="00604DA0" w:rsidP="00604DA0">
      <w:pPr>
        <w:spacing w:after="0" w:line="240" w:lineRule="auto"/>
        <w:rPr>
          <w:b/>
        </w:rPr>
      </w:pPr>
      <w:r w:rsidRPr="00604DA0">
        <w:rPr>
          <w:b/>
        </w:rPr>
        <w:t>-</w:t>
      </w:r>
      <w:r w:rsidRPr="00604DA0">
        <w:t>Verstevigen samenwerking</w:t>
      </w:r>
    </w:p>
    <w:p w:rsidR="00604DA0" w:rsidRPr="00604DA0" w:rsidRDefault="00604DA0" w:rsidP="00604DA0">
      <w:pPr>
        <w:jc w:val="both"/>
      </w:pPr>
      <w:r w:rsidRPr="00604DA0">
        <w:t xml:space="preserve">-De communicatie met de burger zal de komende jaren verder intensiveren. De eerste ervaringen met thema’s als zelfredzaamheid en  participatie leveren een beeld op waarbij extra kosten gemaakt moeten worden op het gebied van </w:t>
      </w:r>
      <w:proofErr w:type="spellStart"/>
      <w:r w:rsidRPr="00604DA0">
        <w:t>social</w:t>
      </w:r>
      <w:proofErr w:type="spellEnd"/>
      <w:r w:rsidRPr="00604DA0">
        <w:t xml:space="preserve"> media, </w:t>
      </w:r>
      <w:proofErr w:type="spellStart"/>
      <w:r w:rsidRPr="00604DA0">
        <w:t>Aps</w:t>
      </w:r>
      <w:proofErr w:type="spellEnd"/>
      <w:r w:rsidRPr="00604DA0">
        <w:t xml:space="preserve"> en interactieve websites. Ook de invoering van de Omgevingswet vraagt om het ontwikkelen van nieuwe digitale communicatiekanalen waarin dialoog inhoud kan krijgen.  Daarbij is het van belang om in het contact met de burger flexibel te zijn, terwijl op de achtergrond gegevens uitwisselbaar , beschermd en geordend moeten blijven. De extra middelen voor het ondersteunen van dit bedrijfsdoel worden op termijn geschat op € 100.000 per jaar.  </w:t>
      </w:r>
    </w:p>
    <w:p w:rsidR="00604DA0" w:rsidRDefault="00604DA0" w:rsidP="00604DA0">
      <w:pPr>
        <w:jc w:val="both"/>
      </w:pPr>
      <w:r w:rsidRPr="00604DA0">
        <w:t xml:space="preserve">De voornoemde ontwikkelingen zullen in 2018 niet gelijk in de volle breedte aangepakt kunnen worden. Voor 2018 wordt verwacht dat de beschikbare middelen ad. € 250.000 toereikend zullen zijn. Bij de aanmaak van de begroting 2019 zullen de meer uitgewerkte consequenties van de bovengenoemde ontwikkelingen voor het </w:t>
      </w:r>
      <w:proofErr w:type="spellStart"/>
      <w:r w:rsidRPr="00604DA0">
        <w:t>meerjarenbeeld</w:t>
      </w:r>
      <w:proofErr w:type="spellEnd"/>
      <w:r w:rsidRPr="00604DA0">
        <w:t xml:space="preserve"> beschikbaar zijn en in de begroting worden verwerkt. </w:t>
      </w:r>
    </w:p>
    <w:p w:rsidR="00604DA0" w:rsidRPr="00604DA0" w:rsidRDefault="00A44899" w:rsidP="00604DA0">
      <w:pPr>
        <w:jc w:val="both"/>
      </w:pPr>
      <w:r w:rsidRPr="00A44899">
        <w:rPr>
          <w:noProof/>
          <w:lang w:eastAsia="nl-NL"/>
        </w:rPr>
        <w:drawing>
          <wp:inline distT="0" distB="0" distL="0" distR="0" wp14:anchorId="2509CD4F" wp14:editId="0416287E">
            <wp:extent cx="5760720" cy="1764698"/>
            <wp:effectExtent l="0" t="0" r="0" b="698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60720" cy="1764698"/>
                    </a:xfrm>
                    <a:prstGeom prst="rect">
                      <a:avLst/>
                    </a:prstGeom>
                    <a:noFill/>
                    <a:ln>
                      <a:noFill/>
                    </a:ln>
                  </pic:spPr>
                </pic:pic>
              </a:graphicData>
            </a:graphic>
          </wp:inline>
        </w:drawing>
      </w:r>
    </w:p>
    <w:p w:rsidR="00604DA0" w:rsidRPr="00604DA0" w:rsidRDefault="00604DA0" w:rsidP="00604DA0">
      <w:pPr>
        <w:spacing w:after="0" w:line="240" w:lineRule="auto"/>
        <w:rPr>
          <w:i/>
          <w:noProof/>
          <w:lang w:eastAsia="nl-NL"/>
        </w:rPr>
      </w:pPr>
      <w:r w:rsidRPr="00604DA0">
        <w:rPr>
          <w:i/>
          <w:noProof/>
          <w:lang w:eastAsia="nl-NL"/>
        </w:rPr>
        <w:t>3.4.3. Verduurzaming wagenpark</w:t>
      </w:r>
    </w:p>
    <w:p w:rsidR="00604DA0" w:rsidRDefault="00604DA0" w:rsidP="00604DA0">
      <w:r w:rsidRPr="00604DA0">
        <w:t>De VRK heeft de ambitie duurzamer en daarmee milieuvriendelijker te worden als organisatie, waarmee een bijdrage aan het afgesloten klimaatakkoord van Parijs wordt geleverd. Om hieraan invulling te geven gaat de VRK over tot verduurzaming van haar wagenpark, waarbij enerzijds het aantal voertuigen wordt teruggebracht en anderzijds wordt overgegaan op elektrische voertuigen. Per saldo leidt dit tot extra kosten van € 35.000.</w:t>
      </w:r>
    </w:p>
    <w:p w:rsidR="00604DA0" w:rsidRPr="00604DA0" w:rsidRDefault="00604DA0" w:rsidP="00604DA0">
      <w:pPr>
        <w:rPr>
          <w:i/>
          <w:noProof/>
          <w:lang w:eastAsia="nl-NL"/>
        </w:rPr>
      </w:pPr>
      <w:r w:rsidRPr="00604DA0">
        <w:rPr>
          <w:i/>
          <w:noProof/>
          <w:lang w:eastAsia="nl-NL"/>
        </w:rPr>
        <w:lastRenderedPageBreak/>
        <w:t>3.4.5 Verduurzaming klimaatbeheerssysteem</w:t>
      </w:r>
    </w:p>
    <w:p w:rsidR="00604DA0" w:rsidRPr="00604DA0" w:rsidRDefault="00604DA0" w:rsidP="00604DA0">
      <w:pPr>
        <w:rPr>
          <w:noProof/>
          <w:lang w:eastAsia="nl-NL"/>
        </w:rPr>
      </w:pPr>
      <w:r w:rsidRPr="00604DA0">
        <w:t>De Zijlweg 200 is in 2015 en 2016 ingrijpend gerenoveerd. Bij deze gelegenheid is klimaatbeheersing vernieuwd. Voor een werkelijk duurzaam gebruik van het gebouw, is het nodig verdere investeringen te doen in het systeem die nog  gebruikerscomfort en besparing op energiekosten opleveren, inclusief het bieden van mogelijkheden om zonne-energie toe te passen.  De investering bedraagt € 100.000, de bijbehorende kapitaallasten € 12.000 zijn met ingang van 2019 in de begroting opgenomen.</w:t>
      </w:r>
    </w:p>
    <w:p w:rsidR="00604DA0" w:rsidRPr="00604DA0" w:rsidRDefault="00604DA0" w:rsidP="00604DA0">
      <w:pPr>
        <w:rPr>
          <w:b/>
          <w:color w:val="548DD4" w:themeColor="text2" w:themeTint="99"/>
        </w:rPr>
      </w:pPr>
      <w:r w:rsidRPr="00604DA0">
        <w:rPr>
          <w:b/>
          <w:color w:val="548DD4" w:themeColor="text2" w:themeTint="99"/>
        </w:rPr>
        <w:t>Dekkingsvoorstellen (nieuw voor oud</w:t>
      </w:r>
      <w:r w:rsidR="006C35A7">
        <w:rPr>
          <w:b/>
          <w:color w:val="548DD4" w:themeColor="text2" w:themeTint="99"/>
        </w:rPr>
        <w:t>)</w:t>
      </w:r>
    </w:p>
    <w:p w:rsidR="00604DA0" w:rsidRPr="00604DA0" w:rsidRDefault="00604DA0" w:rsidP="00604DA0">
      <w:pPr>
        <w:spacing w:after="0" w:line="240" w:lineRule="auto"/>
        <w:rPr>
          <w:i/>
        </w:rPr>
      </w:pPr>
      <w:r w:rsidRPr="00604DA0">
        <w:rPr>
          <w:i/>
        </w:rPr>
        <w:t>3.5.1 Dekking binnen de programma’s</w:t>
      </w:r>
    </w:p>
    <w:p w:rsidR="00604DA0" w:rsidRPr="00604DA0" w:rsidRDefault="00604DA0" w:rsidP="00604DA0">
      <w:r w:rsidRPr="00604DA0">
        <w:t>Binnen de VRK-begroting is op de programma’s  met ingang van 2018 € 270.000 structureel vrijgemaakt ter dekking van de autonome ontwikkelingen en het nieuw beleid.</w:t>
      </w:r>
    </w:p>
    <w:p w:rsidR="00604DA0" w:rsidRPr="00604DA0" w:rsidRDefault="00604DA0" w:rsidP="00604DA0">
      <w:pPr>
        <w:spacing w:after="0" w:line="240" w:lineRule="auto"/>
        <w:rPr>
          <w:i/>
        </w:rPr>
      </w:pPr>
      <w:r w:rsidRPr="00604DA0">
        <w:rPr>
          <w:i/>
        </w:rPr>
        <w:t>3.5.2 Personele effecten bij ondersteuning van verdergaande digitalisering</w:t>
      </w:r>
    </w:p>
    <w:p w:rsidR="00604DA0" w:rsidRDefault="00604DA0" w:rsidP="00604DA0">
      <w:r w:rsidRPr="00604DA0">
        <w:t>De VRK bevindt zich in een tussenfase van de digitalisering. Er is een aantal organisatie brede systemen in gebruik. Nu daarmee ervaring is opgedaan, gaat het erom deze systemen beter te gebruiken en uit te nutten. Dat gaat zondermeer gevolgen krijgen voor de omvang van het takenpakket en meer in het bijzonder de ondersteunende processen.   Hieruit volgt dat de formatie inzet op het programma interne dienstverlening is verlaagd. Hiermee komen middelen vrij voor de dekking van de toename van kosten van dataverkeer en nieuw beleid van € 77.000 in 2019 oplopend tot € 366.000 structureel in 2021. Het mag duidelijk zijn dat deze ontwikkeling noopt tot een aantal organisatieaanpassingen en dat geïnvesteerd dient te worden in het opvangen van de personele consequenties die hieruit voortvloeien.</w:t>
      </w:r>
    </w:p>
    <w:p w:rsidR="00604DA0" w:rsidRPr="00604DA0" w:rsidRDefault="00604DA0" w:rsidP="00604DA0">
      <w:pPr>
        <w:spacing w:after="0" w:line="240" w:lineRule="auto"/>
        <w:rPr>
          <w:i/>
        </w:rPr>
      </w:pPr>
      <w:r w:rsidRPr="00604DA0">
        <w:rPr>
          <w:i/>
        </w:rPr>
        <w:t>3.5.3 Besparen op  inkoop</w:t>
      </w:r>
    </w:p>
    <w:p w:rsidR="00604DA0" w:rsidRDefault="00604DA0" w:rsidP="00604DA0">
      <w:r w:rsidRPr="00604DA0">
        <w:t>Lag tot voor kort het accent op de rechtmatigheid van de uitvoering van de inkoop, naar de toekomst toe is het de bedoeling hier ook een besparing van kosten mee te bereiken. Er wordt ingezet op een structurele besparing van € 71.000 vanaf 2018.</w:t>
      </w:r>
    </w:p>
    <w:p w:rsidR="00A06A96" w:rsidRDefault="00A06A96">
      <w:pPr>
        <w:rPr>
          <w:b/>
          <w:color w:val="548DD4" w:themeColor="text2" w:themeTint="99"/>
        </w:rPr>
      </w:pPr>
      <w:r>
        <w:rPr>
          <w:b/>
          <w:color w:val="548DD4" w:themeColor="text2" w:themeTint="99"/>
        </w:rPr>
        <w:br w:type="page"/>
      </w:r>
    </w:p>
    <w:p w:rsidR="00604DA0" w:rsidRPr="00604DA0" w:rsidRDefault="00604DA0" w:rsidP="00604DA0">
      <w:pPr>
        <w:rPr>
          <w:b/>
          <w:color w:val="548DD4" w:themeColor="text2" w:themeTint="99"/>
        </w:rPr>
      </w:pPr>
      <w:r w:rsidRPr="00604DA0">
        <w:rPr>
          <w:b/>
          <w:color w:val="548DD4" w:themeColor="text2" w:themeTint="99"/>
        </w:rPr>
        <w:lastRenderedPageBreak/>
        <w:t>Ontwikkeling gemeentelijke bijdrage</w:t>
      </w:r>
    </w:p>
    <w:p w:rsidR="00604DA0" w:rsidRPr="00604DA0" w:rsidRDefault="00604DA0" w:rsidP="00604DA0">
      <w:pPr>
        <w:spacing w:after="0" w:line="240" w:lineRule="auto"/>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 xml:space="preserve">De meeste autonome ontwikkeling en al het nieuw beleid zijn gedekt door maatregelen binnen de VRK-begroting zelf. </w:t>
      </w:r>
    </w:p>
    <w:p w:rsidR="00604DA0" w:rsidRPr="00604DA0" w:rsidRDefault="00604DA0" w:rsidP="00604DA0">
      <w:pPr>
        <w:spacing w:after="0" w:line="240" w:lineRule="auto"/>
        <w:rPr>
          <w:rFonts w:ascii="Calibri" w:eastAsia="Times New Roman" w:hAnsi="Calibri" w:cs="Times New Roman"/>
          <w:color w:val="000000"/>
          <w:lang w:eastAsia="nl-NL"/>
        </w:rPr>
      </w:pPr>
      <w:r w:rsidRPr="00604DA0">
        <w:rPr>
          <w:rFonts w:ascii="Calibri" w:eastAsia="Times New Roman" w:hAnsi="Calibri" w:cs="Times New Roman"/>
          <w:color w:val="000000"/>
          <w:lang w:eastAsia="nl-NL"/>
        </w:rPr>
        <w:t>Een klein aantal nominale en autonome ontwikkelingen zorgen voor de wijzigingen in de gemeentelijke bijdrage. Voor een deel staan hier extra inkomsten in het Gemeentefonds tegenover.</w:t>
      </w:r>
    </w:p>
    <w:p w:rsidR="00AC2545" w:rsidRDefault="00AC2545" w:rsidP="00604DA0">
      <w:pPr>
        <w:spacing w:after="0" w:line="240" w:lineRule="auto"/>
        <w:rPr>
          <w:rFonts w:ascii="Calibri" w:eastAsia="Times New Roman" w:hAnsi="Calibri" w:cs="Times New Roman"/>
          <w:color w:val="000000"/>
          <w:lang w:eastAsia="nl-NL"/>
        </w:rPr>
      </w:pPr>
    </w:p>
    <w:p w:rsidR="00604DA0" w:rsidRPr="00604DA0" w:rsidRDefault="00AC2545" w:rsidP="00604DA0">
      <w:pPr>
        <w:spacing w:after="0" w:line="240" w:lineRule="auto"/>
      </w:pPr>
      <w:r w:rsidRPr="00AC2545">
        <w:rPr>
          <w:noProof/>
          <w:lang w:eastAsia="nl-NL"/>
        </w:rPr>
        <w:drawing>
          <wp:inline distT="0" distB="0" distL="0" distR="0" wp14:anchorId="7FF9B69F" wp14:editId="29DFDC76">
            <wp:extent cx="5516131" cy="2381693"/>
            <wp:effectExtent l="0" t="0" r="889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46406" cy="2394765"/>
                    </a:xfrm>
                    <a:prstGeom prst="rect">
                      <a:avLst/>
                    </a:prstGeom>
                    <a:noFill/>
                    <a:ln>
                      <a:noFill/>
                    </a:ln>
                  </pic:spPr>
                </pic:pic>
              </a:graphicData>
            </a:graphic>
          </wp:inline>
        </w:drawing>
      </w:r>
      <w:r w:rsidR="00604DA0" w:rsidRPr="00604DA0">
        <w:rPr>
          <w:rFonts w:ascii="Calibri" w:eastAsia="Times New Roman" w:hAnsi="Calibri" w:cs="Times New Roman"/>
          <w:color w:val="000000"/>
          <w:lang w:eastAsia="nl-NL"/>
        </w:rPr>
        <w:br/>
      </w:r>
    </w:p>
    <w:p w:rsidR="00AC2545" w:rsidRDefault="00AC2545">
      <w:pPr>
        <w:rPr>
          <w:b/>
          <w:color w:val="548DD4" w:themeColor="text2" w:themeTint="99"/>
        </w:rPr>
      </w:pPr>
      <w:r>
        <w:rPr>
          <w:b/>
          <w:color w:val="548DD4" w:themeColor="text2" w:themeTint="99"/>
        </w:rPr>
        <w:br w:type="page"/>
      </w:r>
    </w:p>
    <w:p w:rsidR="00254102" w:rsidRDefault="00254102" w:rsidP="00C05311">
      <w:pPr>
        <w:rPr>
          <w:b/>
          <w:color w:val="548DD4" w:themeColor="text2" w:themeTint="99"/>
        </w:rPr>
      </w:pPr>
      <w:r w:rsidRPr="00254102">
        <w:rPr>
          <w:b/>
          <w:color w:val="548DD4" w:themeColor="text2" w:themeTint="99"/>
        </w:rPr>
        <w:lastRenderedPageBreak/>
        <w:t>Samenvatting ontwikkeling begrotingskader</w:t>
      </w:r>
    </w:p>
    <w:p w:rsidR="00CA63B6" w:rsidRDefault="008D1E96" w:rsidP="00C05311">
      <w:r w:rsidRPr="008D1E96">
        <w:rPr>
          <w:noProof/>
          <w:lang w:eastAsia="nl-NL"/>
        </w:rPr>
        <w:drawing>
          <wp:inline distT="0" distB="0" distL="0" distR="0" wp14:anchorId="0CB2C59B" wp14:editId="41538DFF">
            <wp:extent cx="5082363" cy="8508527"/>
            <wp:effectExtent l="0" t="0" r="4445" b="6985"/>
            <wp:docPr id="65" name="Afbeelding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82858" cy="8509355"/>
                    </a:xfrm>
                    <a:prstGeom prst="rect">
                      <a:avLst/>
                    </a:prstGeom>
                    <a:noFill/>
                    <a:ln>
                      <a:noFill/>
                    </a:ln>
                  </pic:spPr>
                </pic:pic>
              </a:graphicData>
            </a:graphic>
          </wp:inline>
        </w:drawing>
      </w:r>
    </w:p>
    <w:p w:rsidR="002F5EBF" w:rsidRPr="002F5EBF" w:rsidRDefault="002F5EBF" w:rsidP="002F5EBF">
      <w:r w:rsidRPr="002F5EBF">
        <w:lastRenderedPageBreak/>
        <w:t xml:space="preserve">De VRK heeft een sluitende meerjarenbegroting 2018 en een positief meerjarenperspectief. Daar past de opmerking bij dat dat structurele kosten deels worden gedekt met incidentele ruimte (met name </w:t>
      </w:r>
      <w:proofErr w:type="spellStart"/>
      <w:r w:rsidRPr="002F5EBF">
        <w:t>onderuitputting</w:t>
      </w:r>
      <w:proofErr w:type="spellEnd"/>
      <w:r w:rsidRPr="002F5EBF">
        <w:t xml:space="preserve">  kapitaallasten).  Het risico dat dit met zich meebrengt wordt onderkend en vraagt passende maatregelen. </w:t>
      </w:r>
    </w:p>
    <w:p w:rsidR="002F5EBF" w:rsidRDefault="002F5EBF" w:rsidP="002F5EBF">
      <w:r w:rsidRPr="002F5EBF">
        <w:t>Mogelijkheden liggen onder andere in de verwachting dat de verdergaande digitalisering invloed zal hebben op de hoeveelheid werk in ondersteunende processen in het primaire proces. Deze ontwikkeling kan leiden tot structurele besparingen.  Uiteraard heeft dit wel effecten op het personeelsbestand, die vragen om zorgvuldig beleid.</w:t>
      </w:r>
    </w:p>
    <w:p w:rsidR="0014613F" w:rsidRDefault="0014613F" w:rsidP="002F5EBF">
      <w:r w:rsidRPr="00D80134">
        <w:rPr>
          <w:noProof/>
          <w:lang w:eastAsia="nl-NL"/>
        </w:rPr>
        <w:drawing>
          <wp:inline distT="0" distB="0" distL="0" distR="0" wp14:anchorId="6C9D033A" wp14:editId="5E91C772">
            <wp:extent cx="5443870" cy="6760432"/>
            <wp:effectExtent l="0" t="0" r="4445" b="254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442499" cy="6758730"/>
                    </a:xfrm>
                    <a:prstGeom prst="rect">
                      <a:avLst/>
                    </a:prstGeom>
                    <a:noFill/>
                    <a:ln>
                      <a:noFill/>
                    </a:ln>
                  </pic:spPr>
                </pic:pic>
              </a:graphicData>
            </a:graphic>
          </wp:inline>
        </w:drawing>
      </w:r>
    </w:p>
    <w:p w:rsidR="00193C64" w:rsidRDefault="00193C64" w:rsidP="00193C64">
      <w:pPr>
        <w:pStyle w:val="Kop2"/>
      </w:pPr>
      <w:bookmarkStart w:id="28" w:name="_Toc478655816"/>
      <w:r>
        <w:lastRenderedPageBreak/>
        <w:t>3.2 Effect op het lopende begrotingsjaar 2017</w:t>
      </w:r>
      <w:bookmarkEnd w:id="28"/>
    </w:p>
    <w:p w:rsidR="00193C64" w:rsidRDefault="00193C64" w:rsidP="00193C64">
      <w:r>
        <w:t xml:space="preserve">De nominale en autonome ontwikkeling uit hoofdstuk 3.1 ontwikkeling begrotingskaders heeft ook effect op het lopende begrotingsjaar. Dit effect is vertaald in onderstaande begrotingswijziging. Wij verzoeken de eerste begrotingswijziging 2017 vast te stellen. </w:t>
      </w:r>
    </w:p>
    <w:p w:rsidR="0014613F" w:rsidRPr="00193C64" w:rsidRDefault="00C93EF1" w:rsidP="00193C64">
      <w:r w:rsidRPr="00C93EF1">
        <w:rPr>
          <w:noProof/>
          <w:lang w:eastAsia="nl-NL"/>
        </w:rPr>
        <w:drawing>
          <wp:inline distT="0" distB="0" distL="0" distR="0" wp14:anchorId="66CB1D94" wp14:editId="193AB326">
            <wp:extent cx="5760720" cy="5541079"/>
            <wp:effectExtent l="0" t="0" r="0" b="254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60720" cy="5541079"/>
                    </a:xfrm>
                    <a:prstGeom prst="rect">
                      <a:avLst/>
                    </a:prstGeom>
                    <a:noFill/>
                    <a:ln>
                      <a:noFill/>
                    </a:ln>
                  </pic:spPr>
                </pic:pic>
              </a:graphicData>
            </a:graphic>
          </wp:inline>
        </w:drawing>
      </w:r>
    </w:p>
    <w:p w:rsidR="00193C64" w:rsidRPr="002F5EBF" w:rsidRDefault="00193C64" w:rsidP="002F5EBF"/>
    <w:p w:rsidR="00C05311" w:rsidRDefault="002C3025" w:rsidP="00C05311">
      <w:r w:rsidRPr="002C3025">
        <w:t xml:space="preserve"> </w:t>
      </w:r>
      <w:r w:rsidR="00C05311">
        <w:br w:type="page"/>
      </w:r>
    </w:p>
    <w:p w:rsidR="0025716F" w:rsidRPr="00C05311" w:rsidRDefault="0025716F" w:rsidP="0025716F">
      <w:pPr>
        <w:pStyle w:val="Kop2"/>
      </w:pPr>
      <w:bookmarkStart w:id="29" w:name="_Toc478655817"/>
      <w:r>
        <w:lastRenderedPageBreak/>
        <w:t>3.</w:t>
      </w:r>
      <w:r w:rsidR="00C93EF1">
        <w:t>3</w:t>
      </w:r>
      <w:r w:rsidR="005615F6">
        <w:t xml:space="preserve"> </w:t>
      </w:r>
      <w:r w:rsidRPr="0025716F">
        <w:t>Financiële begroting in één oogopslag</w:t>
      </w:r>
      <w:bookmarkEnd w:id="29"/>
    </w:p>
    <w:p w:rsidR="00691BED" w:rsidRDefault="00691BED"/>
    <w:p w:rsidR="009A3A26" w:rsidRDefault="00505D92">
      <w:r w:rsidRPr="00505D92">
        <w:rPr>
          <w:noProof/>
          <w:lang w:eastAsia="nl-NL"/>
        </w:rPr>
        <w:drawing>
          <wp:inline distT="0" distB="0" distL="0" distR="0" wp14:anchorId="48E762BD" wp14:editId="6FC3B8C9">
            <wp:extent cx="5760720" cy="5104659"/>
            <wp:effectExtent l="0" t="0" r="0" b="127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60720" cy="5104659"/>
                    </a:xfrm>
                    <a:prstGeom prst="rect">
                      <a:avLst/>
                    </a:prstGeom>
                    <a:noFill/>
                    <a:ln>
                      <a:noFill/>
                    </a:ln>
                  </pic:spPr>
                </pic:pic>
              </a:graphicData>
            </a:graphic>
          </wp:inline>
        </w:drawing>
      </w:r>
    </w:p>
    <w:p w:rsidR="002A1892" w:rsidRDefault="002A1892">
      <w:r>
        <w:br w:type="page"/>
      </w:r>
    </w:p>
    <w:p w:rsidR="00C20E57" w:rsidRDefault="00C20E57" w:rsidP="0069463B">
      <w:pPr>
        <w:pStyle w:val="Kop1"/>
        <w:numPr>
          <w:ilvl w:val="0"/>
          <w:numId w:val="1"/>
        </w:numPr>
      </w:pPr>
      <w:bookmarkStart w:id="30" w:name="_Toc436144466"/>
      <w:bookmarkStart w:id="31" w:name="_Toc478655818"/>
      <w:r>
        <w:lastRenderedPageBreak/>
        <w:t>Paragrafen</w:t>
      </w:r>
      <w:bookmarkEnd w:id="30"/>
      <w:bookmarkEnd w:id="31"/>
    </w:p>
    <w:p w:rsidR="00C20E57" w:rsidRDefault="00C20E57" w:rsidP="0069463B">
      <w:pPr>
        <w:pStyle w:val="Kop2"/>
        <w:numPr>
          <w:ilvl w:val="1"/>
          <w:numId w:val="1"/>
        </w:numPr>
      </w:pPr>
      <w:bookmarkStart w:id="32" w:name="_Toc436144467"/>
      <w:bookmarkStart w:id="33" w:name="_Toc478655819"/>
      <w:r>
        <w:t>Weerstandsvermogen en risicobeheersing</w:t>
      </w:r>
      <w:bookmarkEnd w:id="32"/>
      <w:bookmarkEnd w:id="33"/>
    </w:p>
    <w:p w:rsidR="00EE63F7" w:rsidRPr="00EE63F7" w:rsidRDefault="00EE63F7" w:rsidP="00EE63F7"/>
    <w:p w:rsidR="00EE63F7" w:rsidRPr="00EE63F7" w:rsidRDefault="00EE63F7" w:rsidP="00EE63F7">
      <w:pPr>
        <w:rPr>
          <w:b/>
          <w:lang w:eastAsia="nl-NL"/>
        </w:rPr>
      </w:pPr>
      <w:r w:rsidRPr="00EE63F7">
        <w:rPr>
          <w:b/>
          <w:lang w:eastAsia="nl-NL"/>
        </w:rPr>
        <w:t>Herijking reservebeleid</w:t>
      </w:r>
    </w:p>
    <w:p w:rsidR="00EE63F7" w:rsidRPr="00EE63F7" w:rsidRDefault="00EE63F7" w:rsidP="00EE63F7">
      <w:pPr>
        <w:rPr>
          <w:i/>
          <w:lang w:eastAsia="nl-NL"/>
        </w:rPr>
      </w:pPr>
      <w:r w:rsidRPr="00EE63F7">
        <w:rPr>
          <w:i/>
          <w:lang w:eastAsia="nl-NL"/>
        </w:rPr>
        <w:t>Aanleiding</w:t>
      </w:r>
    </w:p>
    <w:p w:rsidR="00EE63F7" w:rsidRPr="00EE63F7" w:rsidRDefault="00EE63F7" w:rsidP="00EE63F7">
      <w:pPr>
        <w:rPr>
          <w:lang w:eastAsia="nl-NL"/>
        </w:rPr>
      </w:pPr>
      <w:r w:rsidRPr="00EE63F7">
        <w:rPr>
          <w:lang w:eastAsia="nl-NL"/>
        </w:rPr>
        <w:t xml:space="preserve">Bij de behandeling van de programmabegroting 2017 is door verschillende gemeenten verzocht om een herziening van het reservebeleid. Uit de bestuurlijke gedachtewisselingen die hieruit volgden, bleek dat de tien regiogemeenten verschillend denken over de </w:t>
      </w:r>
      <w:r w:rsidR="00665558" w:rsidRPr="00EE63F7">
        <w:rPr>
          <w:lang w:eastAsia="nl-NL"/>
        </w:rPr>
        <w:t>noodz</w:t>
      </w:r>
      <w:r w:rsidR="00665558">
        <w:rPr>
          <w:lang w:eastAsia="nl-NL"/>
        </w:rPr>
        <w:t>akelijke</w:t>
      </w:r>
      <w:r w:rsidR="000322FA">
        <w:rPr>
          <w:lang w:eastAsia="nl-NL"/>
        </w:rPr>
        <w:t xml:space="preserve"> hoogte</w:t>
      </w:r>
      <w:r w:rsidRPr="00EE63F7">
        <w:rPr>
          <w:lang w:eastAsia="nl-NL"/>
        </w:rPr>
        <w:t xml:space="preserve"> van een weerstandspositie bij de VRK. Een aantal gemeenten stellen zich op het standpunt dat de gemeenten de (belangrijkste) weerstand vormt. Andere gemeenten hebben er de voorkeur voor dat de VRK er voldoende vermogen op na houdt om risico’s zelf te kunnen ondervangen.</w:t>
      </w:r>
      <w:r w:rsidRPr="00EE63F7">
        <w:rPr>
          <w:lang w:eastAsia="nl-NL"/>
        </w:rPr>
        <w:br/>
        <w:t>De verschillende invalshoeken hebben erin geresulteerd dat in januari 2017 in het Algemeen Bestuur besloten is een reserveniveau aan te houden dat gebaseerd is op een ratio van 0,7 (voor uitleg zie hieronder). De hoogte van deze ratio impliceert het midden tussen de verschillenden gemeentelijke opvattingen.</w:t>
      </w:r>
      <w:r w:rsidR="007B3BF0">
        <w:rPr>
          <w:lang w:eastAsia="nl-NL"/>
        </w:rPr>
        <w:t xml:space="preserve"> Met deze hoogte zijn </w:t>
      </w:r>
      <w:r w:rsidR="005615F6">
        <w:rPr>
          <w:lang w:eastAsia="nl-NL"/>
        </w:rPr>
        <w:t xml:space="preserve"> </w:t>
      </w:r>
      <w:r w:rsidR="007B3BF0">
        <w:rPr>
          <w:lang w:eastAsia="nl-NL"/>
        </w:rPr>
        <w:t>normaal te verwachten risico’s goed op te vangen.</w:t>
      </w:r>
    </w:p>
    <w:p w:rsidR="00EE63F7" w:rsidRPr="00EE63F7" w:rsidRDefault="00EE63F7" w:rsidP="00EE63F7">
      <w:pPr>
        <w:keepNext/>
        <w:keepLines/>
        <w:spacing w:before="200" w:after="0"/>
        <w:outlineLvl w:val="3"/>
        <w:rPr>
          <w:i/>
          <w:lang w:eastAsia="nl-NL"/>
        </w:rPr>
      </w:pPr>
      <w:r w:rsidRPr="00EE63F7">
        <w:rPr>
          <w:i/>
          <w:lang w:eastAsia="nl-NL"/>
        </w:rPr>
        <w:t>Kwantificering van risico’s</w:t>
      </w:r>
    </w:p>
    <w:p w:rsidR="00EE63F7" w:rsidRPr="00EE63F7" w:rsidRDefault="00EE63F7" w:rsidP="00EE63F7">
      <w:r w:rsidRPr="00EE63F7">
        <w:rPr>
          <w:lang w:eastAsia="nl-NL"/>
        </w:rPr>
        <w:t>Ten behoeve van de herijking is het risicoprofiel nader geanalyseerd en zijn risico’s maximaal gekwantificeerd.</w:t>
      </w:r>
      <w:r w:rsidR="005615F6">
        <w:rPr>
          <w:lang w:eastAsia="nl-NL"/>
        </w:rPr>
        <w:t xml:space="preserve"> </w:t>
      </w:r>
      <w:r w:rsidRPr="00EE63F7">
        <w:t>Daar waar mogelijk zijn de risico’s voorzien van een mogelijke financiële impact en een inschatting van de kans dat het risico zich ook daadwerkelijk zal voordoen.</w:t>
      </w:r>
      <w:r w:rsidRPr="00EE63F7">
        <w:br/>
        <w:t>Hierbij wordt aangetekend dat de ingeschatte kans percentages gerelateerd zijn aan een periode van vier jaar, de periode van de meerjarenbegroting.</w:t>
      </w:r>
      <w:r w:rsidRPr="00EE63F7">
        <w:br/>
        <w:t xml:space="preserve">De </w:t>
      </w:r>
      <w:r w:rsidR="007B3BF0">
        <w:t>gekwantificeerde</w:t>
      </w:r>
      <w:r w:rsidR="005615F6">
        <w:t xml:space="preserve"> </w:t>
      </w:r>
      <w:r w:rsidRPr="00EE63F7">
        <w:t xml:space="preserve">risico’s tellen op tot een bedrag van </w:t>
      </w:r>
      <w:r w:rsidR="005615F6">
        <w:t>€ </w:t>
      </w:r>
      <w:r w:rsidRPr="00EE63F7">
        <w:t>3,</w:t>
      </w:r>
      <w:r w:rsidR="000E45C0">
        <w:t>3</w:t>
      </w:r>
      <w:r w:rsidRPr="00EE63F7">
        <w:t xml:space="preserve"> miljoen. </w:t>
      </w:r>
    </w:p>
    <w:p w:rsidR="00EE63F7" w:rsidRPr="00EE63F7" w:rsidRDefault="00EE63F7" w:rsidP="00EE63F7">
      <w:pPr>
        <w:rPr>
          <w:i/>
          <w:lang w:eastAsia="nl-NL"/>
        </w:rPr>
      </w:pPr>
      <w:r w:rsidRPr="00EE63F7">
        <w:rPr>
          <w:i/>
          <w:lang w:eastAsia="nl-NL"/>
        </w:rPr>
        <w:t>Weerstandspositie</w:t>
      </w:r>
    </w:p>
    <w:p w:rsidR="00EE63F7" w:rsidRPr="00EE63F7" w:rsidRDefault="00EE63F7" w:rsidP="00EE63F7">
      <w:pPr>
        <w:rPr>
          <w:lang w:eastAsia="nl-NL"/>
        </w:rPr>
      </w:pPr>
      <w:r w:rsidRPr="00EE63F7">
        <w:rPr>
          <w:lang w:eastAsia="nl-NL"/>
        </w:rPr>
        <w:t>De weerstandspositie wordt uitgedrukt in een ratio. Deze ratio wordt, overeenkomstig de BBV-regels (Besluit Begroting en Verantwoording), als volgt bepaald:</w:t>
      </w:r>
    </w:p>
    <w:p w:rsidR="00EE63F7" w:rsidRPr="00EE63F7" w:rsidRDefault="000D4C6F" w:rsidP="00EE63F7">
      <w:pPr>
        <w:rPr>
          <w:lang w:eastAsia="nl-NL"/>
        </w:rPr>
      </w:pPr>
      <m:oMathPara>
        <m:oMath>
          <m:f>
            <m:fPr>
              <m:ctrlPr>
                <w:rPr>
                  <w:rFonts w:ascii="Cambria Math" w:hAnsi="Cambria Math"/>
                  <w:lang w:eastAsia="nl-NL"/>
                </w:rPr>
              </m:ctrlPr>
            </m:fPr>
            <m:num>
              <m:r>
                <m:rPr>
                  <m:sty m:val="p"/>
                </m:rPr>
                <w:rPr>
                  <w:rFonts w:ascii="Cambria Math" w:hAnsi="Cambria Math" w:cs="Cambria Math"/>
                  <w:lang w:eastAsia="nl-NL"/>
                </w:rPr>
                <m:t>beschikbare weerstandscapaciteit</m:t>
              </m:r>
            </m:num>
            <m:den>
              <m:r>
                <m:rPr>
                  <m:sty m:val="p"/>
                </m:rPr>
                <w:rPr>
                  <w:rFonts w:ascii="Cambria Math" w:hAnsi="Cambria Math" w:cs="Cambria Math"/>
                  <w:lang w:eastAsia="nl-NL"/>
                </w:rPr>
                <m:t>benodigde weerstandscapaciteit</m:t>
              </m:r>
            </m:den>
          </m:f>
        </m:oMath>
      </m:oMathPara>
    </w:p>
    <w:p w:rsidR="00EE63F7" w:rsidRPr="00EE63F7" w:rsidRDefault="00EE63F7" w:rsidP="00EE63F7">
      <w:r w:rsidRPr="00EE63F7">
        <w:t>Door het Nederlands Instituut voor Risicomanagement (NAR) is een, in overheidsland breed toegepaste, beoordelingsmatrix opgesteld om de weerstandsratio te kunnen kwalificeren.</w:t>
      </w:r>
    </w:p>
    <w:p w:rsidR="00EE63F7" w:rsidRPr="00EA23DB" w:rsidRDefault="00EE63F7" w:rsidP="00EE63F7">
      <w:pPr>
        <w:tabs>
          <w:tab w:val="left" w:pos="851"/>
          <w:tab w:val="left" w:pos="3402"/>
        </w:tabs>
        <w:spacing w:after="40"/>
      </w:pPr>
      <w:r w:rsidRPr="00EE63F7">
        <w:tab/>
      </w:r>
      <w:r w:rsidRPr="00EA23DB">
        <w:rPr>
          <w:u w:val="single"/>
        </w:rPr>
        <w:t>Ratio</w:t>
      </w:r>
      <w:r w:rsidRPr="00EA23DB">
        <w:tab/>
      </w:r>
      <w:r w:rsidRPr="00EA23DB">
        <w:rPr>
          <w:u w:val="single"/>
        </w:rPr>
        <w:t>beoordeling</w:t>
      </w:r>
    </w:p>
    <w:p w:rsidR="00EE63F7" w:rsidRPr="00EE63F7" w:rsidRDefault="00EE63F7" w:rsidP="00EE63F7">
      <w:pPr>
        <w:tabs>
          <w:tab w:val="left" w:pos="851"/>
          <w:tab w:val="left" w:pos="3402"/>
        </w:tabs>
        <w:spacing w:after="40"/>
      </w:pPr>
      <w:r w:rsidRPr="00EE63F7">
        <w:tab/>
        <w:t>Groter dan 2</w:t>
      </w:r>
      <w:r w:rsidRPr="00EE63F7">
        <w:tab/>
        <w:t>uitstekend</w:t>
      </w:r>
    </w:p>
    <w:p w:rsidR="00EE63F7" w:rsidRPr="00EE63F7" w:rsidRDefault="00EE63F7" w:rsidP="00EE63F7">
      <w:pPr>
        <w:tabs>
          <w:tab w:val="left" w:pos="851"/>
          <w:tab w:val="left" w:pos="3402"/>
        </w:tabs>
        <w:spacing w:after="40"/>
      </w:pPr>
      <w:r w:rsidRPr="00EE63F7">
        <w:tab/>
        <w:t>Tussen de 1,4 en 2</w:t>
      </w:r>
      <w:r w:rsidRPr="00EE63F7">
        <w:tab/>
        <w:t>ruim voldoende</w:t>
      </w:r>
    </w:p>
    <w:p w:rsidR="00EE63F7" w:rsidRPr="00EE63F7" w:rsidRDefault="00EE63F7" w:rsidP="00EE63F7">
      <w:pPr>
        <w:tabs>
          <w:tab w:val="left" w:pos="851"/>
          <w:tab w:val="left" w:pos="3402"/>
        </w:tabs>
        <w:spacing w:after="40"/>
      </w:pPr>
      <w:r w:rsidRPr="00EE63F7">
        <w:tab/>
        <w:t>Tussen de 1 en 1,4</w:t>
      </w:r>
      <w:r w:rsidRPr="00EE63F7">
        <w:tab/>
        <w:t>voldoende</w:t>
      </w:r>
    </w:p>
    <w:p w:rsidR="00EE63F7" w:rsidRPr="00EE63F7" w:rsidRDefault="00EE63F7" w:rsidP="00EE63F7">
      <w:pPr>
        <w:tabs>
          <w:tab w:val="left" w:pos="851"/>
          <w:tab w:val="left" w:pos="3402"/>
        </w:tabs>
        <w:spacing w:after="40"/>
      </w:pPr>
      <w:r w:rsidRPr="00EE63F7">
        <w:tab/>
        <w:t>Tussen de 0,8 en 1</w:t>
      </w:r>
      <w:r w:rsidRPr="00EE63F7">
        <w:tab/>
        <w:t>matig</w:t>
      </w:r>
    </w:p>
    <w:p w:rsidR="00EE63F7" w:rsidRPr="00EE63F7" w:rsidRDefault="00EE63F7" w:rsidP="00EE63F7">
      <w:pPr>
        <w:tabs>
          <w:tab w:val="left" w:pos="851"/>
          <w:tab w:val="left" w:pos="3402"/>
        </w:tabs>
        <w:spacing w:after="40"/>
      </w:pPr>
      <w:r w:rsidRPr="00EE63F7">
        <w:tab/>
        <w:t>Tussen de 0,6 en 0,8</w:t>
      </w:r>
      <w:r w:rsidRPr="00EE63F7">
        <w:tab/>
        <w:t>onvoldoende</w:t>
      </w:r>
    </w:p>
    <w:p w:rsidR="00EE63F7" w:rsidRPr="00EE63F7" w:rsidRDefault="00EE63F7" w:rsidP="00EE63F7">
      <w:pPr>
        <w:tabs>
          <w:tab w:val="left" w:pos="851"/>
          <w:tab w:val="left" w:pos="3402"/>
        </w:tabs>
      </w:pPr>
      <w:r w:rsidRPr="00EE63F7">
        <w:tab/>
        <w:t>Lager dan 0,6</w:t>
      </w:r>
      <w:r w:rsidRPr="00EE63F7">
        <w:tab/>
        <w:t>ruim onvoldoende</w:t>
      </w:r>
    </w:p>
    <w:p w:rsidR="00EE63F7" w:rsidRPr="00EE63F7" w:rsidRDefault="00EE63F7" w:rsidP="00EE63F7">
      <w:r w:rsidRPr="00EE63F7">
        <w:lastRenderedPageBreak/>
        <w:t xml:space="preserve">Deze beoordelingstabel gaat uit van een eigenstandige verantwoordelijkheid van de organisatie voor de weerstandspositie. </w:t>
      </w:r>
      <w:r w:rsidR="00445387">
        <w:t>Het</w:t>
      </w:r>
      <w:r w:rsidRPr="00EE63F7">
        <w:t xml:space="preserve"> vastgestelde ratio van 0,7 gaat uit van de situatie dat de gemeenten een deel van het risicodragerschap voor hun rekening nemen.</w:t>
      </w:r>
    </w:p>
    <w:p w:rsidR="00EE63F7" w:rsidRPr="00EE63F7" w:rsidRDefault="00EE63F7" w:rsidP="00EE63F7">
      <w:pPr>
        <w:rPr>
          <w:lang w:eastAsia="nl-NL"/>
        </w:rPr>
      </w:pPr>
      <w:r w:rsidRPr="00EE63F7">
        <w:t>Naast de reserves (het eigen vermogen) maakt de ruimte in de bestaande begroting deel uit van de weerstandscapaciteit. Immers, deze ruimte kan worden ingezet om tegenvallers op te vangen.</w:t>
      </w:r>
      <w:r w:rsidRPr="00EE63F7">
        <w:br/>
        <w:t xml:space="preserve">De begroting bevat een structurele post voor onvoorzien van </w:t>
      </w:r>
      <w:r w:rsidR="005615F6">
        <w:t>€ </w:t>
      </w:r>
      <w:r w:rsidRPr="00EE63F7">
        <w:t xml:space="preserve">124.000. Voor een periode van vier jaar geeft dat een weerstandsbedrag van afgerond </w:t>
      </w:r>
      <w:r w:rsidR="005615F6">
        <w:t>€ </w:t>
      </w:r>
      <w:r w:rsidRPr="00EE63F7">
        <w:t>0,5 miljoen.</w:t>
      </w:r>
    </w:p>
    <w:p w:rsidR="00445387" w:rsidRDefault="00EE63F7" w:rsidP="00EE63F7">
      <w:r w:rsidRPr="00EE63F7">
        <w:t xml:space="preserve">Een ratio van 0,7 vraagt op basis van de risico-inventarisatie een weerstandscapaciteit van afgerond </w:t>
      </w:r>
      <w:r w:rsidR="005615F6">
        <w:t>€ </w:t>
      </w:r>
      <w:r w:rsidRPr="00EE63F7">
        <w:t>2,</w:t>
      </w:r>
      <w:r w:rsidR="00BF367A">
        <w:t>3</w:t>
      </w:r>
      <w:r w:rsidRPr="00EE63F7">
        <w:t xml:space="preserve"> miljoen. Gegeven de post onvoorzien in de begroting, is dan een reserve benodigd van </w:t>
      </w:r>
      <w:r w:rsidR="005615F6">
        <w:t>€ </w:t>
      </w:r>
      <w:r w:rsidR="00BF367A">
        <w:t>1,8</w:t>
      </w:r>
      <w:r w:rsidRPr="00EE63F7">
        <w:t xml:space="preserve"> miljoen. </w:t>
      </w:r>
    </w:p>
    <w:p w:rsidR="00EE63F7" w:rsidRPr="00EE63F7" w:rsidRDefault="00EE63F7" w:rsidP="00EE63F7">
      <w:pPr>
        <w:rPr>
          <w:b/>
        </w:rPr>
      </w:pPr>
      <w:r w:rsidRPr="00EE63F7">
        <w:br/>
      </w:r>
      <w:r w:rsidRPr="00EE63F7">
        <w:rPr>
          <w:b/>
        </w:rPr>
        <w:t>Relevante Beleidsnotities en wettelijk kader</w:t>
      </w:r>
    </w:p>
    <w:p w:rsidR="00EE63F7" w:rsidRPr="00EE63F7" w:rsidRDefault="00EE63F7" w:rsidP="00EE63F7">
      <w:pPr>
        <w:numPr>
          <w:ilvl w:val="0"/>
          <w:numId w:val="68"/>
        </w:numPr>
        <w:contextualSpacing/>
        <w:rPr>
          <w:lang w:eastAsia="nl-NL"/>
        </w:rPr>
      </w:pPr>
      <w:r w:rsidRPr="00EE63F7">
        <w:rPr>
          <w:lang w:eastAsia="nl-NL"/>
        </w:rPr>
        <w:t>Herijking reservebeleid, AB januari 2017</w:t>
      </w:r>
    </w:p>
    <w:p w:rsidR="00EE63F7" w:rsidRPr="00EE63F7" w:rsidRDefault="00EE63F7" w:rsidP="00EE63F7">
      <w:pPr>
        <w:numPr>
          <w:ilvl w:val="0"/>
          <w:numId w:val="68"/>
        </w:numPr>
        <w:contextualSpacing/>
        <w:rPr>
          <w:lang w:eastAsia="nl-NL"/>
        </w:rPr>
      </w:pPr>
      <w:r w:rsidRPr="00EE63F7">
        <w:rPr>
          <w:lang w:eastAsia="nl-NL"/>
        </w:rPr>
        <w:t>BBV</w:t>
      </w:r>
    </w:p>
    <w:p w:rsidR="00A27629" w:rsidRPr="000A3C7B" w:rsidRDefault="00A27629" w:rsidP="00A27629">
      <w:pPr>
        <w:spacing w:after="0" w:line="240" w:lineRule="auto"/>
      </w:pPr>
    </w:p>
    <w:p w:rsidR="00CA1349" w:rsidRPr="000A3C7B" w:rsidRDefault="00CA1349" w:rsidP="00C666C5">
      <w:pPr>
        <w:rPr>
          <w:lang w:eastAsia="nl-NL"/>
        </w:rPr>
      </w:pPr>
    </w:p>
    <w:p w:rsidR="00C666C5" w:rsidRPr="00FB727F" w:rsidRDefault="00C666C5" w:rsidP="00C666C5">
      <w:pPr>
        <w:rPr>
          <w:lang w:eastAsia="nl-NL"/>
        </w:rPr>
        <w:sectPr w:rsidR="00C666C5" w:rsidRPr="00FB727F" w:rsidSect="00BF0184">
          <w:pgSz w:w="11906" w:h="16838"/>
          <w:pgMar w:top="1417" w:right="1417" w:bottom="1417" w:left="1417" w:header="708" w:footer="708" w:gutter="0"/>
          <w:cols w:space="708"/>
          <w:docGrid w:linePitch="360"/>
        </w:sectPr>
      </w:pPr>
    </w:p>
    <w:p w:rsidR="00CC430B" w:rsidRDefault="002D6B5D" w:rsidP="00A27629">
      <w:pPr>
        <w:rPr>
          <w:lang w:eastAsia="nl-NL"/>
        </w:rPr>
      </w:pPr>
      <w:r w:rsidRPr="002D6B5D">
        <w:rPr>
          <w:noProof/>
          <w:lang w:eastAsia="nl-NL"/>
        </w:rPr>
        <w:lastRenderedPageBreak/>
        <w:drawing>
          <wp:inline distT="0" distB="0" distL="0" distR="0" wp14:anchorId="4294E5D7" wp14:editId="65423575">
            <wp:extent cx="8892540" cy="3629769"/>
            <wp:effectExtent l="0" t="0" r="3810" b="889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892540" cy="3629769"/>
                    </a:xfrm>
                    <a:prstGeom prst="rect">
                      <a:avLst/>
                    </a:prstGeom>
                    <a:noFill/>
                    <a:ln>
                      <a:noFill/>
                    </a:ln>
                  </pic:spPr>
                </pic:pic>
              </a:graphicData>
            </a:graphic>
          </wp:inline>
        </w:drawing>
      </w:r>
    </w:p>
    <w:p w:rsidR="00F712BE" w:rsidRDefault="002D6B5D" w:rsidP="00A27629">
      <w:pPr>
        <w:rPr>
          <w:lang w:eastAsia="nl-NL"/>
        </w:rPr>
      </w:pPr>
      <w:r w:rsidRPr="002D6B5D">
        <w:rPr>
          <w:noProof/>
          <w:lang w:eastAsia="nl-NL"/>
        </w:rPr>
        <w:lastRenderedPageBreak/>
        <w:drawing>
          <wp:inline distT="0" distB="0" distL="0" distR="0" wp14:anchorId="3809A6DE" wp14:editId="6553528F">
            <wp:extent cx="8892540" cy="4039753"/>
            <wp:effectExtent l="0" t="0" r="3810"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892540" cy="4039753"/>
                    </a:xfrm>
                    <a:prstGeom prst="rect">
                      <a:avLst/>
                    </a:prstGeom>
                    <a:noFill/>
                    <a:ln>
                      <a:noFill/>
                    </a:ln>
                  </pic:spPr>
                </pic:pic>
              </a:graphicData>
            </a:graphic>
          </wp:inline>
        </w:drawing>
      </w:r>
    </w:p>
    <w:p w:rsidR="00F712BE" w:rsidRDefault="00F712BE" w:rsidP="00A27629">
      <w:pPr>
        <w:rPr>
          <w:lang w:eastAsia="nl-NL"/>
        </w:rPr>
        <w:sectPr w:rsidR="00F712BE" w:rsidSect="00CC430B">
          <w:pgSz w:w="16838" w:h="11906" w:orient="landscape"/>
          <w:pgMar w:top="1417" w:right="1417" w:bottom="1417" w:left="1417" w:header="708" w:footer="708" w:gutter="0"/>
          <w:cols w:space="708"/>
          <w:docGrid w:linePitch="360"/>
        </w:sectPr>
      </w:pPr>
    </w:p>
    <w:p w:rsidR="00A53134" w:rsidRDefault="00A53134" w:rsidP="00A27629">
      <w:pPr>
        <w:rPr>
          <w:lang w:eastAsia="nl-NL"/>
        </w:rPr>
      </w:pPr>
    </w:p>
    <w:p w:rsidR="00781D5F" w:rsidRDefault="00445387" w:rsidP="00781D5F">
      <w:pPr>
        <w:rPr>
          <w:b/>
        </w:rPr>
      </w:pPr>
      <w:r w:rsidRPr="00CA1349">
        <w:rPr>
          <w:b/>
        </w:rPr>
        <w:t>Financiële</w:t>
      </w:r>
      <w:r w:rsidR="00781D5F" w:rsidRPr="00CA1349">
        <w:rPr>
          <w:b/>
        </w:rPr>
        <w:t xml:space="preserve"> kengetallen</w:t>
      </w:r>
    </w:p>
    <w:p w:rsidR="00505D92" w:rsidRDefault="00343E63" w:rsidP="00781D5F">
      <w:pPr>
        <w:rPr>
          <w:b/>
        </w:rPr>
      </w:pPr>
      <w:r w:rsidRPr="00343E63">
        <w:rPr>
          <w:noProof/>
          <w:lang w:eastAsia="nl-NL"/>
        </w:rPr>
        <w:drawing>
          <wp:inline distT="0" distB="0" distL="0" distR="0">
            <wp:extent cx="5220335" cy="1329055"/>
            <wp:effectExtent l="0" t="0" r="0" b="444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220335" cy="1329055"/>
                    </a:xfrm>
                    <a:prstGeom prst="rect">
                      <a:avLst/>
                    </a:prstGeom>
                    <a:noFill/>
                    <a:ln>
                      <a:noFill/>
                    </a:ln>
                  </pic:spPr>
                </pic:pic>
              </a:graphicData>
            </a:graphic>
          </wp:inline>
        </w:drawing>
      </w:r>
    </w:p>
    <w:p w:rsidR="00781D5F" w:rsidRPr="000A3C7B" w:rsidRDefault="00781D5F" w:rsidP="00781D5F">
      <w:pPr>
        <w:rPr>
          <w:b/>
        </w:rPr>
      </w:pPr>
      <w:r w:rsidRPr="000A3C7B">
        <w:rPr>
          <w:b/>
        </w:rPr>
        <w:t>Solvabiliteit</w:t>
      </w:r>
    </w:p>
    <w:p w:rsidR="00921833" w:rsidRDefault="00921833" w:rsidP="00781D5F">
      <w:pPr>
        <w:rPr>
          <w:lang w:eastAsia="nl-NL"/>
        </w:rPr>
      </w:pPr>
      <w:r>
        <w:rPr>
          <w:lang w:eastAsia="nl-NL"/>
        </w:rPr>
        <w:t>De solvabiliteit is het percentage eigen vermogen ten opzichte van het totale vermogen.  Het eigen vermogen vormt een buffer tegen het optreden van risico’s.  De herijking reservebeleid per 1 januari 2017 zoals toegelicht in de paragraaf weerstandsvermogen en risico</w:t>
      </w:r>
      <w:r w:rsidR="00C97F37">
        <w:rPr>
          <w:lang w:eastAsia="nl-NL"/>
        </w:rPr>
        <w:t>’</w:t>
      </w:r>
      <w:r>
        <w:rPr>
          <w:lang w:eastAsia="nl-NL"/>
        </w:rPr>
        <w:t xml:space="preserve">s </w:t>
      </w:r>
      <w:r w:rsidR="00C97F37">
        <w:rPr>
          <w:lang w:eastAsia="nl-NL"/>
        </w:rPr>
        <w:t xml:space="preserve">neemt het eigen vermogen af. Dit </w:t>
      </w:r>
      <w:r>
        <w:rPr>
          <w:lang w:eastAsia="nl-NL"/>
        </w:rPr>
        <w:t>veroorzaakt de daling in de solvabiliteit.</w:t>
      </w:r>
    </w:p>
    <w:p w:rsidR="000E4A18" w:rsidRDefault="000E4A18" w:rsidP="00781D5F">
      <w:pPr>
        <w:rPr>
          <w:b/>
          <w:lang w:eastAsia="nl-NL"/>
        </w:rPr>
      </w:pPr>
      <w:r w:rsidRPr="000E4A18">
        <w:rPr>
          <w:b/>
          <w:lang w:eastAsia="nl-NL"/>
        </w:rPr>
        <w:t>Netto Schuldquote</w:t>
      </w:r>
    </w:p>
    <w:p w:rsidR="000E4A18" w:rsidRDefault="000E4A18" w:rsidP="00781D5F">
      <w:pPr>
        <w:rPr>
          <w:lang w:eastAsia="nl-NL"/>
        </w:rPr>
      </w:pPr>
      <w:r>
        <w:rPr>
          <w:lang w:eastAsia="nl-NL"/>
        </w:rPr>
        <w:t>De netto schuldquote geeft inzicht in het niveau van de schuldenlasten t.o.v. de eigen middelen. Het geeft een indicatie van de mate waarin de rentelasten en de aflossingen op de exploitatie drukken. Een laag percentage is gunstig. De VNG adviseert om 130% als maximum norm te hanteren en daarboven de schuld af te bouwen. De netto schuldquote van 36% blijft ruim onder dit gestelde maximum.</w:t>
      </w:r>
    </w:p>
    <w:p w:rsidR="000E4A18" w:rsidRPr="00FE2D7F" w:rsidRDefault="000E4A18" w:rsidP="00781D5F">
      <w:pPr>
        <w:rPr>
          <w:b/>
          <w:lang w:eastAsia="nl-NL"/>
        </w:rPr>
      </w:pPr>
      <w:r w:rsidRPr="00FE2D7F">
        <w:rPr>
          <w:b/>
          <w:lang w:eastAsia="nl-NL"/>
        </w:rPr>
        <w:t>Structurele exploitatieruimte</w:t>
      </w:r>
    </w:p>
    <w:p w:rsidR="000E4A18" w:rsidRDefault="000E4A18" w:rsidP="00781D5F">
      <w:pPr>
        <w:rPr>
          <w:lang w:eastAsia="nl-NL"/>
        </w:rPr>
      </w:pPr>
      <w:r>
        <w:rPr>
          <w:lang w:eastAsia="nl-NL"/>
        </w:rPr>
        <w:t>Dit cijfer helpt mee om te beoordelen welke structurele ruimte een veiligheidsregio heeft om de eigen lasten te dragen, of welke structurele stijging van de baten of structurele daling van de last</w:t>
      </w:r>
      <w:r w:rsidR="00FE2D7F">
        <w:rPr>
          <w:lang w:eastAsia="nl-NL"/>
        </w:rPr>
        <w:t xml:space="preserve">en daarvoor nodig is. Een structurele exploitatieruimte van -0,4% wordt veroorzaakt door het feit dat     € </w:t>
      </w:r>
      <w:r w:rsidR="00C97F37">
        <w:rPr>
          <w:lang w:eastAsia="nl-NL"/>
        </w:rPr>
        <w:t>290</w:t>
      </w:r>
      <w:r w:rsidR="00FE2D7F">
        <w:rPr>
          <w:lang w:eastAsia="nl-NL"/>
        </w:rPr>
        <w:t xml:space="preserve">.000 van de structurele uitgaven wordt gedekt door incidentele middelen. </w:t>
      </w:r>
    </w:p>
    <w:p w:rsidR="000E4A18" w:rsidRPr="000E4A18" w:rsidRDefault="000E4A18" w:rsidP="00781D5F">
      <w:pPr>
        <w:rPr>
          <w:lang w:eastAsia="nl-NL"/>
        </w:rPr>
      </w:pPr>
    </w:p>
    <w:p w:rsidR="00781D5F" w:rsidRDefault="00781D5F" w:rsidP="00A27629">
      <w:pPr>
        <w:rPr>
          <w:lang w:eastAsia="nl-NL"/>
        </w:rPr>
      </w:pPr>
    </w:p>
    <w:p w:rsidR="00781D5F" w:rsidRDefault="00781D5F" w:rsidP="00A27629">
      <w:pPr>
        <w:rPr>
          <w:lang w:eastAsia="nl-NL"/>
        </w:rPr>
      </w:pPr>
    </w:p>
    <w:p w:rsidR="00781D5F" w:rsidRDefault="00781D5F" w:rsidP="00A27629">
      <w:pPr>
        <w:rPr>
          <w:lang w:eastAsia="nl-NL"/>
        </w:rPr>
        <w:sectPr w:rsidR="00781D5F" w:rsidSect="00F712BE">
          <w:pgSz w:w="11906" w:h="16838"/>
          <w:pgMar w:top="1417" w:right="1417" w:bottom="1417" w:left="1417" w:header="708" w:footer="708" w:gutter="0"/>
          <w:cols w:space="708"/>
          <w:docGrid w:linePitch="360"/>
        </w:sectPr>
      </w:pPr>
    </w:p>
    <w:p w:rsidR="00C20E57" w:rsidRDefault="00C20E57" w:rsidP="006256B9">
      <w:pPr>
        <w:pStyle w:val="Kop2"/>
        <w:numPr>
          <w:ilvl w:val="1"/>
          <w:numId w:val="1"/>
        </w:numPr>
      </w:pPr>
      <w:bookmarkStart w:id="34" w:name="_Toc436144468"/>
      <w:bookmarkStart w:id="35" w:name="_Toc478655820"/>
      <w:r>
        <w:lastRenderedPageBreak/>
        <w:t>Onderhoud kapitaalgoederen</w:t>
      </w:r>
      <w:bookmarkEnd w:id="34"/>
      <w:bookmarkEnd w:id="35"/>
    </w:p>
    <w:p w:rsidR="00F86C21" w:rsidRDefault="00F86C21" w:rsidP="00F86C21"/>
    <w:p w:rsidR="00F86C21" w:rsidRPr="00F86C21" w:rsidRDefault="00F86C21" w:rsidP="00F86C21">
      <w:r w:rsidRPr="00F86C21">
        <w:t xml:space="preserve">Kapitaalgoederen zijn goederen welke een meerjarig nut hebben ten behoeve van de productie. In de volksmond worden deze vaak investeringen genoemd. Het gaat daarbij veelal om zaken die na de eerste aanschaf regelmatig onderhoud vergen. Binnen de VRK zijn de belangrijkste kapitaalgoederen de meldkamer met inrichting en de bijbehorende </w:t>
      </w:r>
      <w:proofErr w:type="spellStart"/>
      <w:r w:rsidRPr="00F86C21">
        <w:t>ict</w:t>
      </w:r>
      <w:proofErr w:type="spellEnd"/>
      <w:r w:rsidRPr="00F86C21">
        <w:t>-omgeving (MICK) (tot de overgang naar de Landelijke Meldkamer Organisatie (LMO)), de crisis- en hulpverleningsvoertuigen, de beschermende kleding, en het Regionaal Crisiscentrum (RCC) en de kazernes.</w:t>
      </w:r>
    </w:p>
    <w:p w:rsidR="00F86C21" w:rsidRPr="00F86C21" w:rsidRDefault="00F86C21" w:rsidP="00F86C21">
      <w:r w:rsidRPr="00F86C21">
        <w:t xml:space="preserve">Na afronding van de verbouwing van het meldkamergebouw zal hiervoor een nieuwe </w:t>
      </w:r>
      <w:proofErr w:type="spellStart"/>
      <w:r w:rsidRPr="00F86C21">
        <w:t>meerjarenonderhoudsplanning</w:t>
      </w:r>
      <w:proofErr w:type="spellEnd"/>
      <w:r w:rsidRPr="00F86C21">
        <w:t xml:space="preserve"> worden samengesteld</w:t>
      </w:r>
      <w:r w:rsidRPr="00F86C21">
        <w:br/>
        <w:t xml:space="preserve">Gezien de overgang naar de LMO zullen de </w:t>
      </w:r>
      <w:proofErr w:type="spellStart"/>
      <w:r w:rsidRPr="00F86C21">
        <w:t>ict</w:t>
      </w:r>
      <w:proofErr w:type="spellEnd"/>
      <w:r w:rsidRPr="00F86C21">
        <w:t>- en inrichtingsinvesteringen die in dit verband zijn opgenomen op termijn uit het MJIP worden gehaald. Noodzakelijke tussentijdse investeringen worden getoetst in het kader van de LMO én op de waarborging van continuïteit van het MICK.  Het structureel kapitaallastenkader blijft vooralsnog beschikbaar ter dekking van het aandeel van de VRK voor de gezamenlijke kosten bij de vorming van de LMO.</w:t>
      </w:r>
    </w:p>
    <w:p w:rsidR="00F86C21" w:rsidRPr="00F86C21" w:rsidRDefault="00F86C21" w:rsidP="00F86C21">
      <w:r w:rsidRPr="00F86C21">
        <w:t xml:space="preserve">Crisis- en hulpverleningsvoertuigen worden jaarlijks gekeurd en veelal onderhouden op basis van de kilometerstand. Wanneer gebreken tussentijds worden geconstateerd, vindt direct onderhoud plaats. Vervanging van de voertuigen is opgenomen in het </w:t>
      </w:r>
      <w:proofErr w:type="spellStart"/>
      <w:r w:rsidRPr="00F86C21">
        <w:t>Meerjareninvesteringsplan</w:t>
      </w:r>
      <w:proofErr w:type="spellEnd"/>
      <w:r w:rsidRPr="00F86C21">
        <w:t>. Het onderhoud is opgenomen in de begroting.</w:t>
      </w:r>
    </w:p>
    <w:p w:rsidR="00F86C21" w:rsidRPr="00F86C21" w:rsidRDefault="00F86C21" w:rsidP="00F86C21">
      <w:r w:rsidRPr="00F86C21">
        <w:t xml:space="preserve">Beschermende kleding wordt direct na een incident geïnspecteerd. Bij schade vindt reparatie of vervanging plaats. Voor vervanging en onderhoud is budget beschikbaar in de begroting. In verband met verbeterde inzichten in de </w:t>
      </w:r>
      <w:proofErr w:type="spellStart"/>
      <w:r w:rsidRPr="00F86C21">
        <w:t>arbeidshygiënische</w:t>
      </w:r>
      <w:proofErr w:type="spellEnd"/>
      <w:r w:rsidRPr="00F86C21">
        <w:t xml:space="preserve"> omstandigheden van de repressieve medewerkers  wordt de beschikbare hoeveelheid beschermende kleding vergroot. </w:t>
      </w:r>
    </w:p>
    <w:p w:rsidR="00F86C21" w:rsidRPr="00F86C21" w:rsidRDefault="00F86C21" w:rsidP="00F86C21">
      <w:r w:rsidRPr="00F86C21">
        <w:t xml:space="preserve">In 2013 zijn vijf kazernes in het belang van de betreffende gemeenten  overgenomen waarbij het beheer bij de gemeenten is gebleven. In 2014 is de combinatie  hoofdkantoor/brandweerpost Haarlem-West  van gedeeld eigendom overgegaan naar volledig eigendom. Voor de gebouwen in eigendom van de VRK zijn </w:t>
      </w:r>
      <w:proofErr w:type="spellStart"/>
      <w:r w:rsidRPr="00F86C21">
        <w:t>meerjarenonderhoudsplannen</w:t>
      </w:r>
      <w:proofErr w:type="spellEnd"/>
      <w:r w:rsidRPr="00F86C21">
        <w:t xml:space="preserve"> beschikbaar. De overige kazernes zijn in eigendom en beheer van de deelnemende gemeenten. </w:t>
      </w:r>
    </w:p>
    <w:p w:rsidR="0085129A" w:rsidRDefault="0085129A" w:rsidP="00330436"/>
    <w:p w:rsidR="00677DE3" w:rsidRDefault="00677DE3" w:rsidP="00677DE3">
      <w:bookmarkStart w:id="36" w:name="_Toc436144469"/>
      <w:r>
        <w:br w:type="page"/>
      </w:r>
    </w:p>
    <w:p w:rsidR="00C20E57" w:rsidRDefault="00C20E57" w:rsidP="0069463B">
      <w:pPr>
        <w:pStyle w:val="Kop2"/>
        <w:numPr>
          <w:ilvl w:val="1"/>
          <w:numId w:val="1"/>
        </w:numPr>
      </w:pPr>
      <w:bookmarkStart w:id="37" w:name="_Toc478655821"/>
      <w:r>
        <w:lastRenderedPageBreak/>
        <w:t>Financiering</w:t>
      </w:r>
      <w:bookmarkEnd w:id="36"/>
      <w:bookmarkEnd w:id="37"/>
    </w:p>
    <w:p w:rsidR="00677DE3" w:rsidRPr="00677DE3" w:rsidRDefault="00677DE3" w:rsidP="00677DE3">
      <w:pPr>
        <w:rPr>
          <w:b/>
          <w:bCs/>
          <w:i/>
          <w:iCs/>
        </w:rPr>
      </w:pPr>
      <w:r>
        <w:br/>
      </w:r>
      <w:r w:rsidRPr="00677DE3">
        <w:rPr>
          <w:b/>
          <w:bCs/>
          <w:i/>
          <w:iCs/>
        </w:rPr>
        <w:t>Algemeen</w:t>
      </w:r>
    </w:p>
    <w:p w:rsidR="00677DE3" w:rsidRPr="00677DE3" w:rsidRDefault="00677DE3" w:rsidP="00677DE3">
      <w:pPr>
        <w:rPr>
          <w:b/>
          <w:bCs/>
        </w:rPr>
      </w:pPr>
      <w:r w:rsidRPr="00677DE3">
        <w:rPr>
          <w:b/>
          <w:bCs/>
        </w:rPr>
        <w:t xml:space="preserve">Wet </w:t>
      </w:r>
      <w:proofErr w:type="spellStart"/>
      <w:r w:rsidRPr="00677DE3">
        <w:rPr>
          <w:b/>
          <w:bCs/>
        </w:rPr>
        <w:t>fido</w:t>
      </w:r>
      <w:proofErr w:type="spellEnd"/>
    </w:p>
    <w:p w:rsidR="00677DE3" w:rsidRPr="00677DE3" w:rsidRDefault="00677DE3" w:rsidP="00677DE3">
      <w:r w:rsidRPr="00677DE3">
        <w:t xml:space="preserve">Het Rijk heeft regels gesteld aan hoe gemeenten en provincies hun geld en kapitaal beheren. Die regels staan in de </w:t>
      </w:r>
      <w:hyperlink r:id="rId46" w:history="1">
        <w:r w:rsidRPr="00677DE3">
          <w:rPr>
            <w:rStyle w:val="Hyperlink"/>
          </w:rPr>
          <w:t xml:space="preserve">Wet financiering decentrale overheden (Wet </w:t>
        </w:r>
        <w:proofErr w:type="spellStart"/>
        <w:r w:rsidRPr="00677DE3">
          <w:rPr>
            <w:rStyle w:val="Hyperlink"/>
          </w:rPr>
          <w:t>fido</w:t>
        </w:r>
        <w:proofErr w:type="spellEnd"/>
        <w:r w:rsidRPr="00677DE3">
          <w:rPr>
            <w:rStyle w:val="Hyperlink"/>
          </w:rPr>
          <w:t>)</w:t>
        </w:r>
      </w:hyperlink>
      <w:r w:rsidR="00FB3905">
        <w:t>, en gelden ook voor gemeenschappelijke regelingen als de VRK.</w:t>
      </w:r>
    </w:p>
    <w:p w:rsidR="00677DE3" w:rsidRPr="00677DE3" w:rsidRDefault="00677DE3" w:rsidP="00677DE3">
      <w:r w:rsidRPr="00677DE3">
        <w:t>Hoeveel geld gemeenten en provincies mogen lenen, is afhankelijk van de hoogte van de begroting. De kasgeldlimiet bepaalt hoeveel geld ze mogen lenen voor een periode van maximaal 1 jaar. De renterisiconorm schrijft voor hoeveel maximaal geleend mag worden voor een periode langer dan 1 jaar.</w:t>
      </w:r>
    </w:p>
    <w:p w:rsidR="00677DE3" w:rsidRPr="00677DE3" w:rsidRDefault="00677DE3" w:rsidP="00677DE3">
      <w:r w:rsidRPr="00677DE3">
        <w:t>Gemeenten en provincies mogen liquide middelen aanhouden bij de schatkist (</w:t>
      </w:r>
      <w:hyperlink r:id="rId47" w:history="1">
        <w:r w:rsidRPr="00677DE3">
          <w:rPr>
            <w:rStyle w:val="Hyperlink"/>
          </w:rPr>
          <w:t>schatkistbankieren</w:t>
        </w:r>
      </w:hyperlink>
      <w:r w:rsidRPr="00677DE3">
        <w:t xml:space="preserve">). Hier krijgen ze een rentevergoeding voor. </w:t>
      </w:r>
    </w:p>
    <w:p w:rsidR="00677DE3" w:rsidRPr="00677DE3" w:rsidRDefault="00677DE3" w:rsidP="00FB3905">
      <w:pPr>
        <w:spacing w:after="0"/>
      </w:pPr>
      <w:r w:rsidRPr="00677DE3">
        <w:t>De VRK hanteert de volgende doelstellingen op gebied van financiering:</w:t>
      </w:r>
    </w:p>
    <w:p w:rsidR="00677DE3" w:rsidRDefault="00677DE3" w:rsidP="00FB3905">
      <w:pPr>
        <w:pStyle w:val="Geenafstand"/>
        <w:numPr>
          <w:ilvl w:val="0"/>
          <w:numId w:val="58"/>
        </w:numPr>
      </w:pPr>
      <w:r w:rsidRPr="00677DE3">
        <w:t>Beschikbaar hebben van voldoende liquiditeiten om de vastgestelde plannen te kunnen uitvoeren</w:t>
      </w:r>
    </w:p>
    <w:p w:rsidR="00677DE3" w:rsidRPr="00677DE3" w:rsidRDefault="00677DE3" w:rsidP="00FB3905">
      <w:pPr>
        <w:pStyle w:val="Geenafstand"/>
        <w:numPr>
          <w:ilvl w:val="0"/>
          <w:numId w:val="58"/>
        </w:numPr>
      </w:pPr>
      <w:r w:rsidRPr="00677DE3">
        <w:t>Beheersen van de risico’s die zijn verbonden aan de financieringsfunctie, zoals renterisico en debiteurenrisico</w:t>
      </w:r>
    </w:p>
    <w:p w:rsidR="00677DE3" w:rsidRPr="00677DE3" w:rsidRDefault="00677DE3" w:rsidP="00FB3905">
      <w:pPr>
        <w:pStyle w:val="Geenafstand"/>
        <w:numPr>
          <w:ilvl w:val="0"/>
          <w:numId w:val="58"/>
        </w:numPr>
      </w:pPr>
      <w:r w:rsidRPr="00677DE3">
        <w:t>Minimaliseren van de kosten van geldleningen</w:t>
      </w:r>
    </w:p>
    <w:p w:rsidR="00677DE3" w:rsidRPr="00677DE3" w:rsidRDefault="00677DE3" w:rsidP="00FB3905">
      <w:pPr>
        <w:pStyle w:val="Geenafstand"/>
        <w:numPr>
          <w:ilvl w:val="0"/>
          <w:numId w:val="58"/>
        </w:numPr>
      </w:pPr>
      <w:r w:rsidRPr="00677DE3">
        <w:t>Verkrijgen en handhaven van toegang tot de financiële markten</w:t>
      </w:r>
      <w:r w:rsidR="00FB3905">
        <w:t>.</w:t>
      </w:r>
    </w:p>
    <w:p w:rsidR="00404F01" w:rsidRDefault="00404F01" w:rsidP="00677DE3">
      <w:pPr>
        <w:rPr>
          <w:b/>
          <w:bCs/>
          <w:i/>
          <w:iCs/>
        </w:rPr>
      </w:pPr>
    </w:p>
    <w:p w:rsidR="00677DE3" w:rsidRPr="00677DE3" w:rsidRDefault="00677DE3" w:rsidP="00677DE3">
      <w:pPr>
        <w:rPr>
          <w:b/>
          <w:bCs/>
          <w:i/>
          <w:iCs/>
        </w:rPr>
      </w:pPr>
      <w:r w:rsidRPr="00677DE3">
        <w:rPr>
          <w:b/>
          <w:bCs/>
          <w:i/>
          <w:iCs/>
        </w:rPr>
        <w:t>Renterisico kort en langlopende financiering</w:t>
      </w:r>
    </w:p>
    <w:p w:rsidR="00677DE3" w:rsidRPr="00677DE3" w:rsidRDefault="00B33715" w:rsidP="00677DE3">
      <w:r w:rsidRPr="00B33715">
        <w:rPr>
          <w:u w:val="single"/>
        </w:rPr>
        <w:t>Kasgeldlimiet</w:t>
      </w:r>
      <w:r>
        <w:br/>
      </w:r>
      <w:r w:rsidR="00677DE3" w:rsidRPr="00677DE3">
        <w:t>De door het Rijk opgelegde kasgeldlimiet beperkt het risico van stijgende rentelasten voor de kortlopende financiering. De limiet beperkt de maximale omvang van de gemiddelde korte schuld (&lt; 1 jaar) per kwartaal tot 8,2% van de totale lasten van de programmabegroting. Voor 2017 bedraagt de limiet 6,2 miljoen.</w:t>
      </w:r>
    </w:p>
    <w:p w:rsidR="00677DE3" w:rsidRPr="00677DE3" w:rsidRDefault="00B33715" w:rsidP="00677DE3">
      <w:r>
        <w:rPr>
          <w:u w:val="single"/>
        </w:rPr>
        <w:t>Renterisiconorm</w:t>
      </w:r>
      <w:r>
        <w:rPr>
          <w:u w:val="single"/>
        </w:rPr>
        <w:br/>
      </w:r>
      <w:r w:rsidR="00677DE3" w:rsidRPr="00677DE3">
        <w:t xml:space="preserve">De renterisiconorm beperkt het renterisico op de langlopende financiering. De norm bevordert de spreiding van de looptijd van de kapitaalmarktleningen (looptijd lening &gt; 1 jaar) door de omvang te beperken van de leningen waarvoor de rente in een bepaald jaar moeten worden aangepast. Het rijk heeft de maximale omvang van leningen met een renteaanpassing vastgesteld op 20% van het begrotingstotaal. Voor </w:t>
      </w:r>
      <w:r w:rsidR="001302E1">
        <w:t xml:space="preserve">de VRK </w:t>
      </w:r>
      <w:r w:rsidR="00677DE3" w:rsidRPr="00677DE3">
        <w:t xml:space="preserve"> komt </w:t>
      </w:r>
      <w:r w:rsidR="001302E1">
        <w:t>dat</w:t>
      </w:r>
      <w:r w:rsidR="00677DE3" w:rsidRPr="00677DE3">
        <w:t xml:space="preserve"> neer op een bedrag van </w:t>
      </w:r>
      <w:r w:rsidR="005615F6">
        <w:t>€ </w:t>
      </w:r>
      <w:r w:rsidR="00677DE3" w:rsidRPr="00677DE3">
        <w:t>15 miljoen. In 201</w:t>
      </w:r>
      <w:r w:rsidR="001302E1">
        <w:t>8</w:t>
      </w:r>
      <w:r w:rsidR="00677DE3" w:rsidRPr="00677DE3">
        <w:t xml:space="preserve"> </w:t>
      </w:r>
      <w:r w:rsidR="001302E1">
        <w:t>zal</w:t>
      </w:r>
      <w:r w:rsidR="00677DE3" w:rsidRPr="00677DE3">
        <w:t xml:space="preserve"> naar verwachting </w:t>
      </w:r>
      <w:r w:rsidR="005615F6">
        <w:t>€ </w:t>
      </w:r>
      <w:r w:rsidR="001302E1">
        <w:t>4,5</w:t>
      </w:r>
      <w:r w:rsidR="00677DE3" w:rsidRPr="00677DE3">
        <w:t xml:space="preserve"> miljoen </w:t>
      </w:r>
      <w:r w:rsidR="001302E1">
        <w:t>opnieuw moeten worden gefinancierd, dat ruimschoots onder de gestelde norm ligt.</w:t>
      </w:r>
    </w:p>
    <w:p w:rsidR="00677DE3" w:rsidRPr="00677DE3" w:rsidRDefault="00677DE3" w:rsidP="00677DE3">
      <w:pPr>
        <w:rPr>
          <w:b/>
          <w:bCs/>
          <w:i/>
          <w:iCs/>
        </w:rPr>
      </w:pPr>
      <w:r w:rsidRPr="00677DE3">
        <w:rPr>
          <w:b/>
          <w:bCs/>
          <w:i/>
          <w:iCs/>
        </w:rPr>
        <w:t>Financiering</w:t>
      </w:r>
    </w:p>
    <w:p w:rsidR="00677DE3" w:rsidRPr="00677DE3" w:rsidRDefault="00677DE3" w:rsidP="00677DE3">
      <w:pPr>
        <w:rPr>
          <w:bCs/>
          <w:iCs/>
        </w:rPr>
      </w:pPr>
      <w:r w:rsidRPr="00677DE3">
        <w:rPr>
          <w:bCs/>
          <w:iCs/>
        </w:rPr>
        <w:t xml:space="preserve">Voor het uitoefenen van de </w:t>
      </w:r>
      <w:proofErr w:type="spellStart"/>
      <w:r w:rsidRPr="00677DE3">
        <w:rPr>
          <w:bCs/>
          <w:iCs/>
        </w:rPr>
        <w:t>treasuryfunctie</w:t>
      </w:r>
      <w:proofErr w:type="spellEnd"/>
      <w:r w:rsidRPr="00677DE3">
        <w:rPr>
          <w:bCs/>
          <w:iCs/>
        </w:rPr>
        <w:t xml:space="preserve"> is inzicht nodig in de huidige en toekomstige kasstromen. Deze kasstromen bestaan uit:</w:t>
      </w:r>
    </w:p>
    <w:p w:rsidR="00677DE3" w:rsidRPr="00404F01" w:rsidRDefault="00677DE3" w:rsidP="00FB727F">
      <w:pPr>
        <w:pStyle w:val="Lijstalinea"/>
        <w:numPr>
          <w:ilvl w:val="0"/>
          <w:numId w:val="59"/>
        </w:numPr>
        <w:rPr>
          <w:bCs/>
          <w:iCs/>
        </w:rPr>
      </w:pPr>
      <w:r w:rsidRPr="00404F01">
        <w:rPr>
          <w:bCs/>
          <w:iCs/>
        </w:rPr>
        <w:lastRenderedPageBreak/>
        <w:t>De kasstroom uit operationele activiteiten (de exploitatie)</w:t>
      </w:r>
    </w:p>
    <w:p w:rsidR="00677DE3" w:rsidRPr="00404F01" w:rsidRDefault="00677DE3" w:rsidP="00FB727F">
      <w:pPr>
        <w:pStyle w:val="Lijstalinea"/>
        <w:numPr>
          <w:ilvl w:val="0"/>
          <w:numId w:val="59"/>
        </w:numPr>
        <w:rPr>
          <w:bCs/>
          <w:iCs/>
        </w:rPr>
      </w:pPr>
      <w:r w:rsidRPr="00404F01">
        <w:rPr>
          <w:bCs/>
          <w:iCs/>
        </w:rPr>
        <w:t>De kasstroom uit investeringen</w:t>
      </w:r>
    </w:p>
    <w:p w:rsidR="00677DE3" w:rsidRPr="00404F01" w:rsidRDefault="00677DE3" w:rsidP="00FB727F">
      <w:pPr>
        <w:pStyle w:val="Lijstalinea"/>
        <w:numPr>
          <w:ilvl w:val="0"/>
          <w:numId w:val="59"/>
        </w:numPr>
        <w:rPr>
          <w:bCs/>
          <w:iCs/>
        </w:rPr>
      </w:pPr>
      <w:r w:rsidRPr="00404F01">
        <w:rPr>
          <w:bCs/>
          <w:iCs/>
        </w:rPr>
        <w:t>De kasstroom uit financieringsactiviteiten (aflossingen en stortingen van aangetrokken geldleningen)</w:t>
      </w:r>
    </w:p>
    <w:p w:rsidR="00677DE3" w:rsidRDefault="00677DE3" w:rsidP="00677DE3">
      <w:pPr>
        <w:rPr>
          <w:bCs/>
          <w:iCs/>
        </w:rPr>
      </w:pPr>
      <w:r w:rsidRPr="00677DE3">
        <w:rPr>
          <w:bCs/>
          <w:iCs/>
        </w:rPr>
        <w:t>Het inzicht hierin wordt verkregen door het regelmatig actualiseren van onze liquiditeitsplanning. Hierbij zijn de ontvangsten en uitgaven volgens de programmabegroting en het investeringsplan het uitgangspunt.</w:t>
      </w:r>
      <w:r w:rsidR="002C67CE">
        <w:rPr>
          <w:bCs/>
          <w:iCs/>
        </w:rPr>
        <w:t xml:space="preserve"> </w:t>
      </w:r>
    </w:p>
    <w:p w:rsidR="00182751" w:rsidRPr="00677DE3" w:rsidRDefault="0003458F" w:rsidP="00677DE3">
      <w:pPr>
        <w:rPr>
          <w:bCs/>
          <w:iCs/>
        </w:rPr>
      </w:pPr>
      <w:r w:rsidRPr="0003458F">
        <w:rPr>
          <w:noProof/>
          <w:lang w:eastAsia="nl-NL"/>
        </w:rPr>
        <w:drawing>
          <wp:inline distT="0" distB="0" distL="0" distR="0" wp14:anchorId="2BDDF210" wp14:editId="7C9C1DBC">
            <wp:extent cx="5760720" cy="4458288"/>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60720" cy="4458288"/>
                    </a:xfrm>
                    <a:prstGeom prst="rect">
                      <a:avLst/>
                    </a:prstGeom>
                    <a:noFill/>
                    <a:ln>
                      <a:noFill/>
                    </a:ln>
                  </pic:spPr>
                </pic:pic>
              </a:graphicData>
            </a:graphic>
          </wp:inline>
        </w:drawing>
      </w:r>
    </w:p>
    <w:p w:rsidR="002C67CE" w:rsidRDefault="005B1647" w:rsidP="00677DE3">
      <w:pPr>
        <w:rPr>
          <w:bCs/>
          <w:iCs/>
        </w:rPr>
      </w:pPr>
      <w:r>
        <w:rPr>
          <w:bCs/>
          <w:iCs/>
        </w:rPr>
        <w:t>Het maximaal benodigd mandaat voor het aantrekken van langlopende leningen voor 201</w:t>
      </w:r>
      <w:r w:rsidR="009E465C">
        <w:rPr>
          <w:bCs/>
          <w:iCs/>
        </w:rPr>
        <w:t>8</w:t>
      </w:r>
      <w:r>
        <w:rPr>
          <w:bCs/>
          <w:iCs/>
        </w:rPr>
        <w:t xml:space="preserve"> bedraagt</w:t>
      </w:r>
      <w:r w:rsidR="005615F6">
        <w:rPr>
          <w:bCs/>
          <w:iCs/>
        </w:rPr>
        <w:t xml:space="preserve"> € </w:t>
      </w:r>
      <w:r w:rsidR="00505D92">
        <w:rPr>
          <w:bCs/>
          <w:iCs/>
        </w:rPr>
        <w:t>5</w:t>
      </w:r>
      <w:r w:rsidR="00182751">
        <w:rPr>
          <w:bCs/>
          <w:iCs/>
        </w:rPr>
        <w:t>,</w:t>
      </w:r>
      <w:r w:rsidR="00F4154F">
        <w:rPr>
          <w:bCs/>
          <w:iCs/>
        </w:rPr>
        <w:t>5</w:t>
      </w:r>
      <w:r>
        <w:rPr>
          <w:bCs/>
          <w:iCs/>
        </w:rPr>
        <w:t xml:space="preserve"> miljoen.</w:t>
      </w:r>
    </w:p>
    <w:p w:rsidR="00677DE3" w:rsidRPr="00677DE3" w:rsidRDefault="00677DE3" w:rsidP="00677DE3">
      <w:pPr>
        <w:rPr>
          <w:b/>
          <w:bCs/>
          <w:i/>
          <w:iCs/>
        </w:rPr>
      </w:pPr>
      <w:r w:rsidRPr="00677DE3">
        <w:rPr>
          <w:b/>
          <w:bCs/>
          <w:i/>
          <w:iCs/>
        </w:rPr>
        <w:t>Renteomslag</w:t>
      </w:r>
      <w:r w:rsidR="00404F01">
        <w:rPr>
          <w:b/>
          <w:bCs/>
          <w:i/>
          <w:iCs/>
        </w:rPr>
        <w:t xml:space="preserve"> en financieringsresultaat</w:t>
      </w:r>
    </w:p>
    <w:p w:rsidR="006529E1" w:rsidRDefault="00D339F8" w:rsidP="00677DE3">
      <w:r>
        <w:t xml:space="preserve">In het rapport Vernieuwing BBV van de Commissie Vernieuwing BBV was het advies opgenomen om de rentekosten op een </w:t>
      </w:r>
      <w:r w:rsidR="006529E1">
        <w:t xml:space="preserve">separate </w:t>
      </w:r>
      <w:r>
        <w:t xml:space="preserve">post in de begroting op te nemen. De programmabegroting 2017 </w:t>
      </w:r>
      <w:r w:rsidR="00AD24D1">
        <w:t>was daarom</w:t>
      </w:r>
      <w:r>
        <w:t xml:space="preserve"> op deze manier </w:t>
      </w:r>
      <w:r w:rsidR="00AD24D1">
        <w:t>ingericht</w:t>
      </w:r>
      <w:r>
        <w:t xml:space="preserve">. </w:t>
      </w:r>
    </w:p>
    <w:p w:rsidR="006529E1" w:rsidRDefault="006529E1" w:rsidP="00677DE3">
      <w:r>
        <w:t xml:space="preserve">In het definitieve wijzigingsbesluit BBV is dit uiteindelijk toch anders geregeld, namelijk verplichte toerekening van rente aan de programma’s. </w:t>
      </w:r>
    </w:p>
    <w:p w:rsidR="00D339F8" w:rsidRDefault="00D339F8" w:rsidP="00677DE3">
      <w:r>
        <w:t>Voor vergelijkbaarheid</w:t>
      </w:r>
      <w:r w:rsidR="006529E1">
        <w:t xml:space="preserve"> tussen overheidsorganisaties</w:t>
      </w:r>
      <w:r w:rsidR="00AD24D1">
        <w:t>,</w:t>
      </w:r>
      <w:r w:rsidR="006529E1">
        <w:t xml:space="preserve"> schrijft de BBV</w:t>
      </w:r>
      <w:r>
        <w:t xml:space="preserve"> de manier v</w:t>
      </w:r>
      <w:r w:rsidR="006529E1">
        <w:t>an</w:t>
      </w:r>
      <w:r>
        <w:t xml:space="preserve"> bepalen van de renteomslag voor.</w:t>
      </w:r>
      <w:r w:rsidR="003E11EA">
        <w:t xml:space="preserve"> Voor de VRK bedraagt de renteomslag 2,5%.</w:t>
      </w:r>
    </w:p>
    <w:p w:rsidR="00D339F8" w:rsidRDefault="00803D40" w:rsidP="00677DE3">
      <w:r w:rsidRPr="00803D40">
        <w:rPr>
          <w:noProof/>
          <w:lang w:eastAsia="nl-NL"/>
        </w:rPr>
        <w:lastRenderedPageBreak/>
        <w:drawing>
          <wp:inline distT="0" distB="0" distL="0" distR="0" wp14:anchorId="0F02C31A" wp14:editId="78037B02">
            <wp:extent cx="5760720" cy="4239387"/>
            <wp:effectExtent l="0" t="0" r="0" b="889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760720" cy="4239387"/>
                    </a:xfrm>
                    <a:prstGeom prst="rect">
                      <a:avLst/>
                    </a:prstGeom>
                    <a:noFill/>
                    <a:ln>
                      <a:noFill/>
                    </a:ln>
                  </pic:spPr>
                </pic:pic>
              </a:graphicData>
            </a:graphic>
          </wp:inline>
        </w:drawing>
      </w:r>
    </w:p>
    <w:p w:rsidR="003E11EA" w:rsidRDefault="003E11EA" w:rsidP="00677DE3"/>
    <w:p w:rsidR="003E11EA" w:rsidRDefault="00803D40" w:rsidP="00677DE3">
      <w:r w:rsidRPr="00803D40">
        <w:rPr>
          <w:noProof/>
          <w:lang w:eastAsia="nl-NL"/>
        </w:rPr>
        <w:drawing>
          <wp:inline distT="0" distB="0" distL="0" distR="0" wp14:anchorId="3892EF44" wp14:editId="77F1E123">
            <wp:extent cx="5760720" cy="918484"/>
            <wp:effectExtent l="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60720" cy="918484"/>
                    </a:xfrm>
                    <a:prstGeom prst="rect">
                      <a:avLst/>
                    </a:prstGeom>
                    <a:noFill/>
                    <a:ln>
                      <a:noFill/>
                    </a:ln>
                  </pic:spPr>
                </pic:pic>
              </a:graphicData>
            </a:graphic>
          </wp:inline>
        </w:drawing>
      </w:r>
    </w:p>
    <w:p w:rsidR="003E11EA" w:rsidRDefault="003E11EA" w:rsidP="00677DE3">
      <w:pPr>
        <w:sectPr w:rsidR="003E11EA" w:rsidSect="006256B9">
          <w:pgSz w:w="11906" w:h="16838"/>
          <w:pgMar w:top="1417" w:right="1417" w:bottom="1417" w:left="1417" w:header="708" w:footer="708" w:gutter="0"/>
          <w:cols w:space="708"/>
          <w:docGrid w:linePitch="360"/>
        </w:sectPr>
      </w:pPr>
    </w:p>
    <w:p w:rsidR="00AD59C3" w:rsidRDefault="00C20E57" w:rsidP="00FB727F">
      <w:pPr>
        <w:pStyle w:val="Kop1"/>
        <w:numPr>
          <w:ilvl w:val="0"/>
          <w:numId w:val="59"/>
        </w:numPr>
      </w:pPr>
      <w:bookmarkStart w:id="38" w:name="_Toc436144470"/>
      <w:bookmarkStart w:id="39" w:name="_Toc478655822"/>
      <w:r>
        <w:lastRenderedPageBreak/>
        <w:t>Bijlagen</w:t>
      </w:r>
      <w:bookmarkEnd w:id="38"/>
      <w:bookmarkEnd w:id="39"/>
    </w:p>
    <w:p w:rsidR="00BC2C67" w:rsidRDefault="00BC2C67" w:rsidP="00FB727F">
      <w:pPr>
        <w:pStyle w:val="Kop2"/>
        <w:numPr>
          <w:ilvl w:val="1"/>
          <w:numId w:val="59"/>
        </w:numPr>
      </w:pPr>
      <w:bookmarkStart w:id="40" w:name="_Toc436144471"/>
      <w:bookmarkStart w:id="41" w:name="_Toc478655823"/>
      <w:r>
        <w:t>Gemeentelijke bijdrage</w:t>
      </w:r>
      <w:bookmarkEnd w:id="40"/>
      <w:bookmarkEnd w:id="41"/>
    </w:p>
    <w:p w:rsidR="00005A5A" w:rsidRDefault="00005A5A" w:rsidP="00005A5A">
      <w:r w:rsidRPr="00005A5A">
        <w:rPr>
          <w:noProof/>
          <w:lang w:eastAsia="nl-NL"/>
        </w:rPr>
        <w:drawing>
          <wp:inline distT="0" distB="0" distL="0" distR="0" wp14:anchorId="1556E8F7" wp14:editId="4233F8EA">
            <wp:extent cx="8892540" cy="2690315"/>
            <wp:effectExtent l="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892540" cy="2690315"/>
                    </a:xfrm>
                    <a:prstGeom prst="rect">
                      <a:avLst/>
                    </a:prstGeom>
                    <a:noFill/>
                    <a:ln>
                      <a:noFill/>
                    </a:ln>
                  </pic:spPr>
                </pic:pic>
              </a:graphicData>
            </a:graphic>
          </wp:inline>
        </w:drawing>
      </w:r>
    </w:p>
    <w:p w:rsidR="00005A5A" w:rsidRDefault="00803D40" w:rsidP="00005A5A">
      <w:r w:rsidRPr="00803D40">
        <w:rPr>
          <w:noProof/>
          <w:lang w:eastAsia="nl-NL"/>
        </w:rPr>
        <w:lastRenderedPageBreak/>
        <w:drawing>
          <wp:inline distT="0" distB="0" distL="0" distR="0" wp14:anchorId="5EE0F0CA" wp14:editId="76824FAB">
            <wp:extent cx="8892540" cy="2797479"/>
            <wp:effectExtent l="0" t="0" r="3810" b="3175"/>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2540" cy="2797479"/>
                    </a:xfrm>
                    <a:prstGeom prst="rect">
                      <a:avLst/>
                    </a:prstGeom>
                    <a:noFill/>
                    <a:ln>
                      <a:noFill/>
                    </a:ln>
                  </pic:spPr>
                </pic:pic>
              </a:graphicData>
            </a:graphic>
          </wp:inline>
        </w:drawing>
      </w:r>
    </w:p>
    <w:p w:rsidR="00F9160E" w:rsidRDefault="00F9160E" w:rsidP="00005A5A"/>
    <w:p w:rsidR="00005A5A" w:rsidRDefault="00803D40" w:rsidP="00005A5A">
      <w:r w:rsidRPr="00803D40">
        <w:rPr>
          <w:noProof/>
          <w:lang w:eastAsia="nl-NL"/>
        </w:rPr>
        <w:lastRenderedPageBreak/>
        <w:drawing>
          <wp:inline distT="0" distB="0" distL="0" distR="0" wp14:anchorId="00374E9B" wp14:editId="64CF50F8">
            <wp:extent cx="8892540" cy="3008971"/>
            <wp:effectExtent l="0" t="0" r="3810" b="127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2540" cy="3008971"/>
                    </a:xfrm>
                    <a:prstGeom prst="rect">
                      <a:avLst/>
                    </a:prstGeom>
                    <a:noFill/>
                    <a:ln>
                      <a:noFill/>
                    </a:ln>
                  </pic:spPr>
                </pic:pic>
              </a:graphicData>
            </a:graphic>
          </wp:inline>
        </w:drawing>
      </w:r>
    </w:p>
    <w:p w:rsidR="00803D40" w:rsidRDefault="00803D40" w:rsidP="00005A5A">
      <w:r w:rsidRPr="00803D40">
        <w:rPr>
          <w:noProof/>
          <w:lang w:eastAsia="nl-NL"/>
        </w:rPr>
        <w:drawing>
          <wp:inline distT="0" distB="0" distL="0" distR="0" wp14:anchorId="006230F0" wp14:editId="51FC05D5">
            <wp:extent cx="8892540" cy="2530367"/>
            <wp:effectExtent l="0" t="0" r="3810" b="3810"/>
            <wp:docPr id="95" name="Afbeelding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2540" cy="2530367"/>
                    </a:xfrm>
                    <a:prstGeom prst="rect">
                      <a:avLst/>
                    </a:prstGeom>
                    <a:noFill/>
                    <a:ln>
                      <a:noFill/>
                    </a:ln>
                  </pic:spPr>
                </pic:pic>
              </a:graphicData>
            </a:graphic>
          </wp:inline>
        </w:drawing>
      </w:r>
    </w:p>
    <w:p w:rsidR="00E72792" w:rsidRDefault="00E72792" w:rsidP="00005A5A">
      <w:pPr>
        <w:sectPr w:rsidR="00E72792" w:rsidSect="00005A5A">
          <w:pgSz w:w="16838" w:h="11906" w:orient="landscape"/>
          <w:pgMar w:top="1417" w:right="1417" w:bottom="1417" w:left="1417" w:header="708" w:footer="708" w:gutter="0"/>
          <w:cols w:space="708"/>
          <w:docGrid w:linePitch="360"/>
        </w:sectPr>
      </w:pPr>
    </w:p>
    <w:p w:rsidR="00AD59C3" w:rsidRDefault="00AD59C3" w:rsidP="00FB727F">
      <w:pPr>
        <w:pStyle w:val="Kop2"/>
        <w:numPr>
          <w:ilvl w:val="1"/>
          <w:numId w:val="59"/>
        </w:numPr>
      </w:pPr>
      <w:bookmarkStart w:id="42" w:name="_Toc436144473"/>
      <w:bookmarkStart w:id="43" w:name="_Toc478655824"/>
      <w:r>
        <w:lastRenderedPageBreak/>
        <w:t>Overzicht incidentele baten en lasten</w:t>
      </w:r>
      <w:bookmarkEnd w:id="42"/>
      <w:bookmarkEnd w:id="43"/>
    </w:p>
    <w:p w:rsidR="00803D40" w:rsidRPr="00803D40" w:rsidRDefault="0003458F" w:rsidP="00803D40">
      <w:r w:rsidRPr="0003458F">
        <w:rPr>
          <w:noProof/>
          <w:lang w:eastAsia="nl-NL"/>
        </w:rPr>
        <w:drawing>
          <wp:inline distT="0" distB="0" distL="0" distR="0" wp14:anchorId="53AC2660" wp14:editId="0E490CCE">
            <wp:extent cx="5760720" cy="5143237"/>
            <wp:effectExtent l="0" t="0" r="0" b="635"/>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60720" cy="5143237"/>
                    </a:xfrm>
                    <a:prstGeom prst="rect">
                      <a:avLst/>
                    </a:prstGeom>
                    <a:noFill/>
                    <a:ln>
                      <a:noFill/>
                    </a:ln>
                  </pic:spPr>
                </pic:pic>
              </a:graphicData>
            </a:graphic>
          </wp:inline>
        </w:drawing>
      </w:r>
    </w:p>
    <w:p w:rsidR="006E5273" w:rsidRDefault="006E5273" w:rsidP="006E5273"/>
    <w:p w:rsidR="00B758BF" w:rsidRDefault="00B758BF" w:rsidP="00FB727F">
      <w:pPr>
        <w:pStyle w:val="Kop2"/>
        <w:numPr>
          <w:ilvl w:val="1"/>
          <w:numId w:val="59"/>
        </w:numPr>
      </w:pPr>
      <w:bookmarkStart w:id="44" w:name="_Toc478655825"/>
      <w:r>
        <w:lastRenderedPageBreak/>
        <w:t>Geprognotiseerde balans</w:t>
      </w:r>
      <w:bookmarkEnd w:id="44"/>
    </w:p>
    <w:p w:rsidR="007F38B1" w:rsidRDefault="0003458F" w:rsidP="00E72792">
      <w:r w:rsidRPr="0003458F">
        <w:rPr>
          <w:noProof/>
          <w:lang w:eastAsia="nl-NL"/>
        </w:rPr>
        <w:drawing>
          <wp:inline distT="0" distB="0" distL="0" distR="0" wp14:anchorId="1E2C9C88" wp14:editId="307DD603">
            <wp:extent cx="5760720" cy="3924251"/>
            <wp:effectExtent l="0" t="0" r="0" b="635"/>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3924251"/>
                    </a:xfrm>
                    <a:prstGeom prst="rect">
                      <a:avLst/>
                    </a:prstGeom>
                    <a:noFill/>
                    <a:ln>
                      <a:noFill/>
                    </a:ln>
                  </pic:spPr>
                </pic:pic>
              </a:graphicData>
            </a:graphic>
          </wp:inline>
        </w:drawing>
      </w:r>
    </w:p>
    <w:p w:rsidR="00E72792" w:rsidRDefault="00E72792" w:rsidP="00E72792">
      <w:r>
        <w:br w:type="page"/>
      </w:r>
    </w:p>
    <w:p w:rsidR="00AD59C3" w:rsidRDefault="00AD59C3" w:rsidP="00FB727F">
      <w:pPr>
        <w:pStyle w:val="Kop2"/>
        <w:numPr>
          <w:ilvl w:val="1"/>
          <w:numId w:val="59"/>
        </w:numPr>
      </w:pPr>
      <w:bookmarkStart w:id="45" w:name="_Toc436144474"/>
      <w:bookmarkStart w:id="46" w:name="_Toc478655826"/>
      <w:r>
        <w:lastRenderedPageBreak/>
        <w:t>Overzicht nominale ontwikkeling</w:t>
      </w:r>
      <w:bookmarkEnd w:id="45"/>
      <w:bookmarkEnd w:id="46"/>
    </w:p>
    <w:p w:rsidR="00E72792" w:rsidRPr="00E72792" w:rsidRDefault="00E72792" w:rsidP="00E72792">
      <w:r>
        <w:t>Prijsindexering 2018</w:t>
      </w:r>
    </w:p>
    <w:p w:rsidR="00E72792" w:rsidRDefault="00E72792" w:rsidP="00E72792">
      <w:r w:rsidRPr="00E72792">
        <w:rPr>
          <w:noProof/>
          <w:lang w:eastAsia="nl-NL"/>
        </w:rPr>
        <w:drawing>
          <wp:inline distT="0" distB="0" distL="0" distR="0" wp14:anchorId="0B10FB55" wp14:editId="25869EC2">
            <wp:extent cx="5505450" cy="3231460"/>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505315" cy="3231381"/>
                    </a:xfrm>
                    <a:prstGeom prst="rect">
                      <a:avLst/>
                    </a:prstGeom>
                    <a:noFill/>
                    <a:ln>
                      <a:noFill/>
                    </a:ln>
                  </pic:spPr>
                </pic:pic>
              </a:graphicData>
            </a:graphic>
          </wp:inline>
        </w:drawing>
      </w:r>
    </w:p>
    <w:p w:rsidR="00E72792" w:rsidRDefault="00E72792" w:rsidP="00E72792">
      <w:r>
        <w:t>Loonindexering 2018</w:t>
      </w:r>
    </w:p>
    <w:p w:rsidR="00E72792" w:rsidRDefault="00E72792" w:rsidP="00E72792">
      <w:r w:rsidRPr="00E72792">
        <w:rPr>
          <w:noProof/>
          <w:lang w:eastAsia="nl-NL"/>
        </w:rPr>
        <w:drawing>
          <wp:inline distT="0" distB="0" distL="0" distR="0" wp14:anchorId="388538C4" wp14:editId="69DF8B32">
            <wp:extent cx="5276850" cy="2223288"/>
            <wp:effectExtent l="0" t="0" r="0" b="571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6850" cy="2223288"/>
                    </a:xfrm>
                    <a:prstGeom prst="rect">
                      <a:avLst/>
                    </a:prstGeom>
                    <a:noFill/>
                    <a:ln>
                      <a:noFill/>
                    </a:ln>
                  </pic:spPr>
                </pic:pic>
              </a:graphicData>
            </a:graphic>
          </wp:inline>
        </w:drawing>
      </w:r>
    </w:p>
    <w:p w:rsidR="00E72792" w:rsidRDefault="00E72792" w:rsidP="00E72792">
      <w:r>
        <w:t>Nominale ontwikkeling 2018</w:t>
      </w:r>
    </w:p>
    <w:p w:rsidR="00AB4954" w:rsidRDefault="00E72792" w:rsidP="00E72792">
      <w:r w:rsidRPr="00E72792">
        <w:rPr>
          <w:noProof/>
          <w:lang w:eastAsia="nl-NL"/>
        </w:rPr>
        <w:drawing>
          <wp:inline distT="0" distB="0" distL="0" distR="0" wp14:anchorId="3FEBEEC1" wp14:editId="59334A0A">
            <wp:extent cx="5760720" cy="1423626"/>
            <wp:effectExtent l="0" t="0" r="0" b="571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60720" cy="1423626"/>
                    </a:xfrm>
                    <a:prstGeom prst="rect">
                      <a:avLst/>
                    </a:prstGeom>
                    <a:noFill/>
                    <a:ln>
                      <a:noFill/>
                    </a:ln>
                  </pic:spPr>
                </pic:pic>
              </a:graphicData>
            </a:graphic>
          </wp:inline>
        </w:drawing>
      </w:r>
    </w:p>
    <w:p w:rsidR="00AB4954" w:rsidRDefault="00AB4954" w:rsidP="00E72792"/>
    <w:p w:rsidR="00AB4954" w:rsidRDefault="00AB4954" w:rsidP="00E72792">
      <w:pPr>
        <w:sectPr w:rsidR="00AB4954" w:rsidSect="00005A5A">
          <w:pgSz w:w="11906" w:h="16838"/>
          <w:pgMar w:top="1417" w:right="1417" w:bottom="1417" w:left="1417" w:header="708" w:footer="708" w:gutter="0"/>
          <w:cols w:space="708"/>
          <w:docGrid w:linePitch="360"/>
        </w:sectPr>
      </w:pPr>
    </w:p>
    <w:p w:rsidR="00AD59C3" w:rsidRDefault="00AD59C3" w:rsidP="00FB727F">
      <w:pPr>
        <w:pStyle w:val="Kop2"/>
        <w:numPr>
          <w:ilvl w:val="1"/>
          <w:numId w:val="59"/>
        </w:numPr>
      </w:pPr>
      <w:bookmarkStart w:id="47" w:name="_Toc436144475"/>
      <w:bookmarkStart w:id="48" w:name="_Toc478655827"/>
      <w:r>
        <w:lastRenderedPageBreak/>
        <w:t>Reserves en voorzieningen</w:t>
      </w:r>
      <w:bookmarkEnd w:id="47"/>
      <w:bookmarkEnd w:id="48"/>
    </w:p>
    <w:p w:rsidR="00B94587" w:rsidRDefault="000E45C0" w:rsidP="00B94587">
      <w:r w:rsidRPr="000E45C0">
        <w:rPr>
          <w:noProof/>
          <w:lang w:eastAsia="nl-NL"/>
        </w:rPr>
        <w:drawing>
          <wp:inline distT="0" distB="0" distL="0" distR="0" wp14:anchorId="5D848A0F" wp14:editId="40B14554">
            <wp:extent cx="9257045" cy="3476847"/>
            <wp:effectExtent l="0" t="0" r="1270"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260705" cy="3478222"/>
                    </a:xfrm>
                    <a:prstGeom prst="rect">
                      <a:avLst/>
                    </a:prstGeom>
                    <a:noFill/>
                    <a:ln>
                      <a:noFill/>
                    </a:ln>
                  </pic:spPr>
                </pic:pic>
              </a:graphicData>
            </a:graphic>
          </wp:inline>
        </w:drawing>
      </w:r>
    </w:p>
    <w:p w:rsidR="001B6653" w:rsidRDefault="001B6653" w:rsidP="00B94587"/>
    <w:p w:rsidR="00AB4954" w:rsidRDefault="00AB4954" w:rsidP="00B94587">
      <w:pPr>
        <w:sectPr w:rsidR="00AB4954" w:rsidSect="00AB4954">
          <w:pgSz w:w="16838" w:h="11906" w:orient="landscape"/>
          <w:pgMar w:top="1417" w:right="1417" w:bottom="1417" w:left="1417" w:header="708" w:footer="708" w:gutter="0"/>
          <w:cols w:space="708"/>
          <w:docGrid w:linePitch="360"/>
        </w:sectPr>
      </w:pPr>
    </w:p>
    <w:p w:rsidR="00AD59C3" w:rsidRDefault="00AD59C3" w:rsidP="00FB727F">
      <w:pPr>
        <w:pStyle w:val="Kop2"/>
        <w:numPr>
          <w:ilvl w:val="1"/>
          <w:numId w:val="59"/>
        </w:numPr>
      </w:pPr>
      <w:bookmarkStart w:id="49" w:name="_Toc436144476"/>
      <w:bookmarkStart w:id="50" w:name="_Toc478655828"/>
      <w:proofErr w:type="spellStart"/>
      <w:r>
        <w:lastRenderedPageBreak/>
        <w:t>Meerjaren</w:t>
      </w:r>
      <w:proofErr w:type="spellEnd"/>
      <w:r>
        <w:t xml:space="preserve"> investeringsplan 201</w:t>
      </w:r>
      <w:r w:rsidR="004B2B8E">
        <w:t>8</w:t>
      </w:r>
      <w:r>
        <w:t>-202</w:t>
      </w:r>
      <w:bookmarkEnd w:id="49"/>
      <w:r w:rsidR="004B2B8E">
        <w:t>1</w:t>
      </w:r>
      <w:bookmarkEnd w:id="50"/>
    </w:p>
    <w:p w:rsidR="00B94587" w:rsidRDefault="00B94587" w:rsidP="00B94587"/>
    <w:p w:rsidR="00B94587" w:rsidRDefault="00415A33" w:rsidP="00B94587">
      <w:r w:rsidRPr="00415A33">
        <w:rPr>
          <w:noProof/>
          <w:lang w:eastAsia="nl-NL"/>
        </w:rPr>
        <w:drawing>
          <wp:inline distT="0" distB="0" distL="0" distR="0" wp14:anchorId="612AED7C" wp14:editId="46E59646">
            <wp:extent cx="5369560" cy="3126105"/>
            <wp:effectExtent l="0" t="0" r="2540" b="0"/>
            <wp:docPr id="99" name="Afbeelding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369560" cy="3126105"/>
                    </a:xfrm>
                    <a:prstGeom prst="rect">
                      <a:avLst/>
                    </a:prstGeom>
                    <a:noFill/>
                    <a:ln>
                      <a:noFill/>
                    </a:ln>
                  </pic:spPr>
                </pic:pic>
              </a:graphicData>
            </a:graphic>
          </wp:inline>
        </w:drawing>
      </w:r>
    </w:p>
    <w:p w:rsidR="00415A33" w:rsidRDefault="00415A33" w:rsidP="00B94587"/>
    <w:p w:rsidR="00415A33" w:rsidRDefault="00415A33">
      <w:r w:rsidRPr="00415A33">
        <w:rPr>
          <w:noProof/>
          <w:lang w:eastAsia="nl-NL"/>
        </w:rPr>
        <w:drawing>
          <wp:inline distT="0" distB="0" distL="0" distR="0" wp14:anchorId="70C2C84E" wp14:editId="7B8B401C">
            <wp:extent cx="5369560" cy="3083560"/>
            <wp:effectExtent l="0" t="0" r="2540" b="2540"/>
            <wp:docPr id="100" name="Afbeelding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369560" cy="3083560"/>
                    </a:xfrm>
                    <a:prstGeom prst="rect">
                      <a:avLst/>
                    </a:prstGeom>
                    <a:noFill/>
                    <a:ln>
                      <a:noFill/>
                    </a:ln>
                  </pic:spPr>
                </pic:pic>
              </a:graphicData>
            </a:graphic>
          </wp:inline>
        </w:drawing>
      </w:r>
    </w:p>
    <w:p w:rsidR="00415A33" w:rsidRDefault="00415A33">
      <w:r>
        <w:br w:type="page"/>
      </w:r>
    </w:p>
    <w:p w:rsidR="00415A33" w:rsidRDefault="00415A33">
      <w:r w:rsidRPr="00415A33">
        <w:rPr>
          <w:noProof/>
          <w:lang w:eastAsia="nl-NL"/>
        </w:rPr>
        <w:lastRenderedPageBreak/>
        <w:drawing>
          <wp:inline distT="0" distB="0" distL="0" distR="0" wp14:anchorId="2827620B" wp14:editId="09E8FAD2">
            <wp:extent cx="5369560" cy="7134225"/>
            <wp:effectExtent l="0" t="0" r="2540" b="9525"/>
            <wp:docPr id="101" name="Afbeelding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369560" cy="7134225"/>
                    </a:xfrm>
                    <a:prstGeom prst="rect">
                      <a:avLst/>
                    </a:prstGeom>
                    <a:noFill/>
                    <a:ln>
                      <a:noFill/>
                    </a:ln>
                  </pic:spPr>
                </pic:pic>
              </a:graphicData>
            </a:graphic>
          </wp:inline>
        </w:drawing>
      </w:r>
    </w:p>
    <w:p w:rsidR="00B94587" w:rsidRDefault="00415A33">
      <w:r w:rsidRPr="00415A33">
        <w:rPr>
          <w:noProof/>
          <w:lang w:eastAsia="nl-NL"/>
        </w:rPr>
        <w:drawing>
          <wp:inline distT="0" distB="0" distL="0" distR="0" wp14:anchorId="49EAEDF4" wp14:editId="54B79529">
            <wp:extent cx="5369560" cy="329565"/>
            <wp:effectExtent l="0" t="0" r="2540" b="0"/>
            <wp:docPr id="102" name="Afbeelding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69560" cy="329565"/>
                    </a:xfrm>
                    <a:prstGeom prst="rect">
                      <a:avLst/>
                    </a:prstGeom>
                    <a:noFill/>
                    <a:ln>
                      <a:noFill/>
                    </a:ln>
                  </pic:spPr>
                </pic:pic>
              </a:graphicData>
            </a:graphic>
          </wp:inline>
        </w:drawing>
      </w:r>
      <w:r w:rsidR="00B94587">
        <w:br w:type="page"/>
      </w:r>
    </w:p>
    <w:p w:rsidR="00BC2C67" w:rsidRDefault="00BC2C67" w:rsidP="00FB727F">
      <w:pPr>
        <w:pStyle w:val="Kop2"/>
        <w:numPr>
          <w:ilvl w:val="1"/>
          <w:numId w:val="59"/>
        </w:numPr>
      </w:pPr>
      <w:bookmarkStart w:id="51" w:name="_Toc436144477"/>
      <w:bookmarkStart w:id="52" w:name="_Toc478655829"/>
      <w:r>
        <w:lastRenderedPageBreak/>
        <w:t>EMU saldo</w:t>
      </w:r>
      <w:bookmarkEnd w:id="51"/>
      <w:bookmarkEnd w:id="52"/>
    </w:p>
    <w:p w:rsidR="00415A33" w:rsidRPr="00415A33" w:rsidRDefault="00415A33" w:rsidP="00415A33">
      <w:r w:rsidRPr="00415A33">
        <w:rPr>
          <w:noProof/>
          <w:lang w:eastAsia="nl-NL"/>
        </w:rPr>
        <w:drawing>
          <wp:inline distT="0" distB="0" distL="0" distR="0" wp14:anchorId="21E238D6" wp14:editId="7EAB35A4">
            <wp:extent cx="5760720" cy="7759793"/>
            <wp:effectExtent l="0" t="0" r="0" b="0"/>
            <wp:docPr id="103" name="Afbeelding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760720" cy="7759793"/>
                    </a:xfrm>
                    <a:prstGeom prst="rect">
                      <a:avLst/>
                    </a:prstGeom>
                    <a:noFill/>
                    <a:ln>
                      <a:noFill/>
                    </a:ln>
                  </pic:spPr>
                </pic:pic>
              </a:graphicData>
            </a:graphic>
          </wp:inline>
        </w:drawing>
      </w:r>
    </w:p>
    <w:p w:rsidR="00945D73" w:rsidRPr="00945D73" w:rsidRDefault="00945D73" w:rsidP="00945D73"/>
    <w:p w:rsidR="00B94587" w:rsidRDefault="00B94587">
      <w:r>
        <w:br w:type="page"/>
      </w:r>
    </w:p>
    <w:p w:rsidR="00AD59C3" w:rsidRDefault="00AD59C3" w:rsidP="00FB727F">
      <w:pPr>
        <w:pStyle w:val="Kop2"/>
        <w:numPr>
          <w:ilvl w:val="1"/>
          <w:numId w:val="59"/>
        </w:numPr>
      </w:pPr>
      <w:bookmarkStart w:id="53" w:name="_Toc436144478"/>
      <w:bookmarkStart w:id="54" w:name="_Toc478655830"/>
      <w:r>
        <w:lastRenderedPageBreak/>
        <w:t>Lijst met afkortingen</w:t>
      </w:r>
      <w:bookmarkEnd w:id="53"/>
      <w:bookmarkEnd w:id="54"/>
    </w:p>
    <w:p w:rsidR="00396394" w:rsidRDefault="00396394" w:rsidP="00396394"/>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AB</w:t>
      </w:r>
      <w:r w:rsidRPr="00D411EE">
        <w:rPr>
          <w:rFonts w:eastAsia="Times New Roman" w:cs="Times New Roman"/>
          <w:szCs w:val="24"/>
          <w:lang w:eastAsia="nl-NL"/>
        </w:rPr>
        <w:tab/>
        <w:t>Algemeen Bestuur</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AED</w:t>
      </w:r>
      <w:r w:rsidRPr="00D411EE">
        <w:rPr>
          <w:rFonts w:eastAsia="Times New Roman" w:cs="Times New Roman"/>
          <w:szCs w:val="24"/>
          <w:lang w:eastAsia="nl-NL"/>
        </w:rPr>
        <w:tab/>
        <w:t>Automatische Externe Defibrillator</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AM</w:t>
      </w:r>
      <w:r w:rsidRPr="00D411EE">
        <w:rPr>
          <w:rFonts w:eastAsia="Times New Roman" w:cs="Times New Roman"/>
          <w:szCs w:val="24"/>
          <w:lang w:eastAsia="nl-NL"/>
        </w:rPr>
        <w:tab/>
        <w:t xml:space="preserve">Amstelland – de </w:t>
      </w:r>
      <w:proofErr w:type="spellStart"/>
      <w:r w:rsidRPr="00D411EE">
        <w:rPr>
          <w:rFonts w:eastAsia="Times New Roman" w:cs="Times New Roman"/>
          <w:szCs w:val="24"/>
          <w:lang w:eastAsia="nl-NL"/>
        </w:rPr>
        <w:t>Meerlanden</w:t>
      </w:r>
      <w:proofErr w:type="spellEnd"/>
    </w:p>
    <w:p w:rsidR="000322FA" w:rsidRPr="00D411EE" w:rsidRDefault="000322FA"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ATW</w:t>
      </w:r>
      <w:r>
        <w:rPr>
          <w:rFonts w:eastAsia="Times New Roman" w:cs="Times New Roman"/>
          <w:szCs w:val="24"/>
          <w:lang w:eastAsia="nl-NL"/>
        </w:rPr>
        <w:tab/>
        <w:t>Arbeidstijdenwet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AWBZ</w:t>
      </w:r>
      <w:r w:rsidRPr="00D411EE">
        <w:rPr>
          <w:rFonts w:eastAsia="Times New Roman" w:cs="Times New Roman"/>
          <w:szCs w:val="24"/>
          <w:lang w:eastAsia="nl-NL"/>
        </w:rPr>
        <w:tab/>
        <w:t>Algemene Wet Bijzondere Ziektekosten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AZN</w:t>
      </w:r>
      <w:r w:rsidRPr="00D411EE">
        <w:rPr>
          <w:rFonts w:eastAsia="Times New Roman" w:cs="Times New Roman"/>
          <w:szCs w:val="24"/>
          <w:lang w:eastAsia="nl-NL"/>
        </w:rPr>
        <w:tab/>
        <w:t>Ambulancezorg Nederland</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BBV</w:t>
      </w:r>
      <w:r w:rsidRPr="00D411EE">
        <w:rPr>
          <w:rFonts w:eastAsia="Times New Roman" w:cs="Times New Roman"/>
          <w:szCs w:val="24"/>
          <w:lang w:eastAsia="nl-NL"/>
        </w:rPr>
        <w:tab/>
        <w:t>Besluit begroting en verantwoording provincies en gemeente</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BCT</w:t>
      </w:r>
      <w:r w:rsidRPr="00D411EE">
        <w:rPr>
          <w:rFonts w:eastAsia="Times New Roman" w:cs="Times New Roman"/>
          <w:szCs w:val="24"/>
          <w:lang w:eastAsia="nl-NL"/>
        </w:rPr>
        <w:tab/>
        <w:t>Brede Centrale Toegang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BCOV</w:t>
      </w:r>
      <w:r w:rsidRPr="00D411EE">
        <w:rPr>
          <w:rFonts w:eastAsia="Times New Roman" w:cs="Times New Roman"/>
          <w:szCs w:val="24"/>
          <w:lang w:eastAsia="nl-NL"/>
        </w:rPr>
        <w:tab/>
        <w:t>Bestuurscommissie Openbare veiligheid</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BDuR</w:t>
      </w:r>
      <w:proofErr w:type="spellEnd"/>
      <w:r w:rsidRPr="00D411EE">
        <w:rPr>
          <w:rFonts w:eastAsia="Times New Roman" w:cs="Times New Roman"/>
          <w:szCs w:val="24"/>
          <w:lang w:eastAsia="nl-NL"/>
        </w:rPr>
        <w:tab/>
        <w:t>Brede Doeluitkering Rampenbestrijding</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BHV</w:t>
      </w:r>
      <w:r w:rsidRPr="00D411EE">
        <w:rPr>
          <w:rFonts w:eastAsia="Times New Roman" w:cs="Times New Roman"/>
          <w:szCs w:val="24"/>
          <w:lang w:eastAsia="nl-NL"/>
        </w:rPr>
        <w:tab/>
        <w:t>Bedrijfshulpverlening</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BNG</w:t>
      </w:r>
      <w:r>
        <w:rPr>
          <w:rFonts w:eastAsia="Times New Roman" w:cs="Times New Roman"/>
          <w:szCs w:val="24"/>
          <w:lang w:eastAsia="nl-NL"/>
        </w:rPr>
        <w:tab/>
        <w:t>Bank Nederlandse Gemeenten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BT</w:t>
      </w:r>
      <w:r w:rsidRPr="00D411EE">
        <w:rPr>
          <w:rFonts w:eastAsia="Times New Roman" w:cs="Times New Roman"/>
          <w:szCs w:val="24"/>
          <w:lang w:eastAsia="nl-NL"/>
        </w:rPr>
        <w:tab/>
        <w:t>Beleidsteam</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B&amp;V</w:t>
      </w:r>
      <w:r w:rsidRPr="00D411EE">
        <w:rPr>
          <w:rFonts w:eastAsia="Times New Roman" w:cs="Times New Roman"/>
          <w:szCs w:val="24"/>
          <w:lang w:eastAsia="nl-NL"/>
        </w:rPr>
        <w:tab/>
        <w:t>Begroting en Verantwoording</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Caco</w:t>
      </w:r>
      <w:proofErr w:type="spellEnd"/>
      <w:r w:rsidRPr="00D411EE">
        <w:rPr>
          <w:rFonts w:eastAsia="Times New Roman" w:cs="Times New Roman"/>
          <w:szCs w:val="24"/>
          <w:lang w:eastAsia="nl-NL"/>
        </w:rPr>
        <w:tab/>
        <w:t>Calamiteitencoördinator</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CAO</w:t>
      </w:r>
      <w:r w:rsidRPr="00D411EE">
        <w:rPr>
          <w:rFonts w:eastAsia="Times New Roman" w:cs="Times New Roman"/>
          <w:szCs w:val="24"/>
          <w:lang w:eastAsia="nl-NL"/>
        </w:rPr>
        <w:tab/>
        <w:t>Collectieve Arbeidsovereenkomst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CB</w:t>
      </w:r>
      <w:r w:rsidRPr="00D411EE">
        <w:rPr>
          <w:rFonts w:eastAsia="Times New Roman" w:cs="Times New Roman"/>
          <w:szCs w:val="24"/>
          <w:lang w:eastAsia="nl-NL"/>
        </w:rPr>
        <w:tab/>
        <w:t>Crisisbeheersing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CJG</w:t>
      </w:r>
      <w:r w:rsidRPr="00D411EE">
        <w:rPr>
          <w:rFonts w:eastAsia="Times New Roman" w:cs="Times New Roman"/>
          <w:szCs w:val="24"/>
          <w:lang w:eastAsia="nl-NL"/>
        </w:rPr>
        <w:tab/>
        <w:t>Centrum voor Jeugd en Gezin</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Copi</w:t>
      </w:r>
      <w:proofErr w:type="spellEnd"/>
      <w:r w:rsidRPr="00D411EE">
        <w:rPr>
          <w:rFonts w:eastAsia="Times New Roman" w:cs="Times New Roman"/>
          <w:szCs w:val="24"/>
          <w:lang w:eastAsia="nl-NL"/>
        </w:rPr>
        <w:tab/>
        <w:t>Commando Plaats Incident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CPB</w:t>
      </w:r>
      <w:r w:rsidRPr="00D411EE">
        <w:rPr>
          <w:rFonts w:eastAsia="Times New Roman" w:cs="Times New Roman"/>
          <w:szCs w:val="24"/>
          <w:lang w:eastAsia="nl-NL"/>
        </w:rPr>
        <w:tab/>
        <w:t>Centraal Planbureau</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CTER</w:t>
      </w:r>
      <w:r w:rsidRPr="00D411EE">
        <w:rPr>
          <w:rFonts w:eastAsia="Times New Roman" w:cs="Times New Roman"/>
          <w:szCs w:val="24"/>
          <w:lang w:eastAsia="nl-NL"/>
        </w:rPr>
        <w:tab/>
        <w:t xml:space="preserve">Contra Terrorisme Extremisme en Radicalisering </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DB</w:t>
      </w:r>
      <w:r w:rsidRPr="00D411EE">
        <w:rPr>
          <w:rFonts w:eastAsia="Times New Roman" w:cs="Times New Roman"/>
          <w:szCs w:val="24"/>
          <w:lang w:eastAsia="nl-NL"/>
        </w:rPr>
        <w:tab/>
        <w:t>Dagelijks Bestuur</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DJI</w:t>
      </w:r>
      <w:r w:rsidR="000322FA">
        <w:rPr>
          <w:rFonts w:eastAsia="Times New Roman" w:cs="Times New Roman"/>
          <w:szCs w:val="24"/>
          <w:lang w:eastAsia="nl-NL"/>
        </w:rPr>
        <w:tab/>
        <w:t xml:space="preserve">Dienst </w:t>
      </w:r>
      <w:proofErr w:type="spellStart"/>
      <w:r w:rsidR="000322FA">
        <w:rPr>
          <w:rFonts w:eastAsia="Times New Roman" w:cs="Times New Roman"/>
          <w:szCs w:val="24"/>
          <w:lang w:eastAsia="nl-NL"/>
        </w:rPr>
        <w:t>Justitiele</w:t>
      </w:r>
      <w:proofErr w:type="spellEnd"/>
      <w:r w:rsidR="000322FA">
        <w:rPr>
          <w:rFonts w:eastAsia="Times New Roman" w:cs="Times New Roman"/>
          <w:szCs w:val="24"/>
          <w:lang w:eastAsia="nl-NL"/>
        </w:rPr>
        <w:t xml:space="preserve"> inrichtingen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DPG</w:t>
      </w:r>
      <w:r w:rsidRPr="00D411EE">
        <w:rPr>
          <w:rFonts w:eastAsia="Times New Roman" w:cs="Times New Roman"/>
          <w:szCs w:val="24"/>
          <w:lang w:eastAsia="nl-NL"/>
        </w:rPr>
        <w:tab/>
        <w:t>Directeur Publieke Gezondheid</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DUO</w:t>
      </w:r>
      <w:r w:rsidRPr="00D411EE">
        <w:rPr>
          <w:rFonts w:eastAsia="Times New Roman" w:cs="Times New Roman"/>
          <w:szCs w:val="24"/>
          <w:lang w:eastAsia="nl-NL"/>
        </w:rPr>
        <w:tab/>
        <w:t>Dienst</w:t>
      </w:r>
      <w:r w:rsidR="005615F6">
        <w:rPr>
          <w:rFonts w:eastAsia="Times New Roman" w:cs="Times New Roman"/>
          <w:szCs w:val="24"/>
          <w:lang w:eastAsia="nl-NL"/>
        </w:rPr>
        <w:t xml:space="preserve"> </w:t>
      </w:r>
      <w:r w:rsidRPr="00D411EE">
        <w:rPr>
          <w:rFonts w:eastAsia="Times New Roman" w:cs="Times New Roman"/>
          <w:szCs w:val="24"/>
          <w:lang w:eastAsia="nl-NL"/>
        </w:rPr>
        <w:t>Uitvoering</w:t>
      </w:r>
      <w:r w:rsidR="005615F6">
        <w:rPr>
          <w:rFonts w:eastAsia="Times New Roman" w:cs="Times New Roman"/>
          <w:szCs w:val="24"/>
          <w:lang w:eastAsia="nl-NL"/>
        </w:rPr>
        <w:t xml:space="preserve"> </w:t>
      </w:r>
      <w:r w:rsidRPr="00D411EE">
        <w:rPr>
          <w:rFonts w:eastAsia="Times New Roman" w:cs="Times New Roman"/>
          <w:szCs w:val="24"/>
          <w:lang w:eastAsia="nl-NL"/>
        </w:rPr>
        <w:t>Onderwijs</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EHBO</w:t>
      </w:r>
      <w:r w:rsidRPr="00D411EE">
        <w:rPr>
          <w:rFonts w:eastAsia="Times New Roman" w:cs="Times New Roman"/>
          <w:szCs w:val="24"/>
          <w:lang w:eastAsia="nl-NL"/>
        </w:rPr>
        <w:tab/>
        <w:t>Eerste Hulp bij Ongelukken</w:t>
      </w:r>
    </w:p>
    <w:p w:rsid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eHRM</w:t>
      </w:r>
      <w:proofErr w:type="spellEnd"/>
      <w:r w:rsidRPr="00D411EE">
        <w:rPr>
          <w:rFonts w:eastAsia="Times New Roman" w:cs="Times New Roman"/>
          <w:szCs w:val="24"/>
          <w:lang w:eastAsia="nl-NL"/>
        </w:rPr>
        <w:tab/>
        <w:t>Electronic Human Resources Management</w:t>
      </w:r>
    </w:p>
    <w:p w:rsidR="000322FA" w:rsidRPr="00D411EE" w:rsidRDefault="000322FA"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ELO</w:t>
      </w:r>
      <w:r>
        <w:rPr>
          <w:rFonts w:eastAsia="Times New Roman" w:cs="Times New Roman"/>
          <w:szCs w:val="24"/>
          <w:lang w:eastAsia="nl-NL"/>
        </w:rPr>
        <w:tab/>
        <w:t>Elektronische Leeromgeving</w:t>
      </w:r>
    </w:p>
    <w:p w:rsid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Emovo</w:t>
      </w:r>
      <w:proofErr w:type="spellEnd"/>
      <w:r w:rsidRPr="00D411EE">
        <w:rPr>
          <w:rFonts w:eastAsia="Times New Roman" w:cs="Times New Roman"/>
          <w:szCs w:val="24"/>
          <w:lang w:eastAsia="nl-NL"/>
        </w:rPr>
        <w:tab/>
        <w:t>Elektronische Monitor Volksgezondheid</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EMU</w:t>
      </w:r>
      <w:r w:rsidR="006529E1">
        <w:rPr>
          <w:rFonts w:eastAsia="Times New Roman" w:cs="Times New Roman"/>
          <w:szCs w:val="24"/>
          <w:lang w:eastAsia="nl-NL"/>
        </w:rPr>
        <w:tab/>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FIDO</w:t>
      </w:r>
      <w:r w:rsidRPr="00D411EE">
        <w:rPr>
          <w:rFonts w:eastAsia="Times New Roman" w:cs="Times New Roman"/>
          <w:szCs w:val="24"/>
          <w:lang w:eastAsia="nl-NL"/>
        </w:rPr>
        <w:tab/>
        <w:t>Financiering decentrale overheden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FB</w:t>
      </w:r>
      <w:r w:rsidRPr="00D411EE">
        <w:rPr>
          <w:rFonts w:eastAsia="Times New Roman" w:cs="Times New Roman"/>
          <w:szCs w:val="24"/>
          <w:lang w:eastAsia="nl-NL"/>
        </w:rPr>
        <w:tab/>
        <w:t>Facilitair Bedrijf</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FLO</w:t>
      </w:r>
      <w:r w:rsidRPr="00D411EE">
        <w:rPr>
          <w:rFonts w:eastAsia="Times New Roman" w:cs="Times New Roman"/>
          <w:szCs w:val="24"/>
          <w:lang w:eastAsia="nl-NL"/>
        </w:rPr>
        <w:tab/>
        <w:t>Functioneel Leeftijdsontslag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F&amp;A</w:t>
      </w:r>
      <w:r w:rsidRPr="00D411EE">
        <w:rPr>
          <w:rFonts w:eastAsia="Times New Roman" w:cs="Times New Roman"/>
          <w:szCs w:val="24"/>
          <w:lang w:eastAsia="nl-NL"/>
        </w:rPr>
        <w:tab/>
        <w:t>Financiën en Administraties</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GB</w:t>
      </w:r>
      <w:r w:rsidRPr="00D411EE">
        <w:rPr>
          <w:rFonts w:eastAsia="Times New Roman" w:cs="Times New Roman"/>
          <w:szCs w:val="24"/>
          <w:lang w:eastAsia="nl-NL"/>
        </w:rPr>
        <w:tab/>
        <w:t>Gezondheidsbevordering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GGD</w:t>
      </w:r>
      <w:r w:rsidRPr="00D411EE">
        <w:rPr>
          <w:rFonts w:eastAsia="Times New Roman" w:cs="Times New Roman"/>
          <w:szCs w:val="24"/>
          <w:lang w:eastAsia="nl-NL"/>
        </w:rPr>
        <w:tab/>
        <w:t>Gemeenschappelijke Gezondheidsdienst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GHOR</w:t>
      </w:r>
      <w:r w:rsidRPr="00D411EE">
        <w:rPr>
          <w:rFonts w:eastAsia="Times New Roman" w:cs="Times New Roman"/>
          <w:szCs w:val="24"/>
          <w:lang w:eastAsia="nl-NL"/>
        </w:rPr>
        <w:tab/>
        <w:t xml:space="preserve">Geneeskundige </w:t>
      </w:r>
      <w:proofErr w:type="spellStart"/>
      <w:r w:rsidRPr="00D411EE">
        <w:rPr>
          <w:rFonts w:eastAsia="Times New Roman" w:cs="Times New Roman"/>
          <w:szCs w:val="24"/>
          <w:lang w:eastAsia="nl-NL"/>
        </w:rPr>
        <w:t>HulpverleningsOrganisatie</w:t>
      </w:r>
      <w:proofErr w:type="spellEnd"/>
      <w:r w:rsidRPr="00D411EE">
        <w:rPr>
          <w:rFonts w:eastAsia="Times New Roman" w:cs="Times New Roman"/>
          <w:szCs w:val="24"/>
          <w:lang w:eastAsia="nl-NL"/>
        </w:rPr>
        <w:t xml:space="preserve"> in de Regio</w:t>
      </w:r>
    </w:p>
    <w:p w:rsidR="00D411EE" w:rsidRPr="00D411EE" w:rsidRDefault="00D411EE" w:rsidP="00D411EE">
      <w:pPr>
        <w:tabs>
          <w:tab w:val="left" w:pos="1080"/>
        </w:tabs>
        <w:spacing w:after="0" w:line="240" w:lineRule="auto"/>
        <w:rPr>
          <w:rFonts w:eastAsia="Times New Roman" w:cs="Times New Roman"/>
          <w:szCs w:val="24"/>
          <w:lang w:val="en-GB" w:eastAsia="nl-NL"/>
        </w:rPr>
      </w:pPr>
      <w:r w:rsidRPr="00D411EE">
        <w:rPr>
          <w:rFonts w:eastAsia="Times New Roman" w:cs="Times New Roman"/>
          <w:szCs w:val="24"/>
          <w:lang w:val="en-GB" w:eastAsia="nl-NL"/>
        </w:rPr>
        <w:t>GSM</w:t>
      </w:r>
      <w:r w:rsidRPr="00D411EE">
        <w:rPr>
          <w:rFonts w:eastAsia="Times New Roman" w:cs="Times New Roman"/>
          <w:szCs w:val="24"/>
          <w:lang w:val="en-GB" w:eastAsia="nl-NL"/>
        </w:rPr>
        <w:tab/>
        <w:t>Global System for Mobile Communications</w:t>
      </w:r>
    </w:p>
    <w:p w:rsidR="00D411EE" w:rsidRPr="00D411EE" w:rsidRDefault="00D411EE" w:rsidP="00D411EE">
      <w:pPr>
        <w:tabs>
          <w:tab w:val="left" w:pos="1080"/>
        </w:tabs>
        <w:spacing w:after="0" w:line="240" w:lineRule="auto"/>
        <w:rPr>
          <w:rFonts w:eastAsia="Times New Roman" w:cs="Times New Roman"/>
          <w:szCs w:val="24"/>
          <w:lang w:val="en-GB" w:eastAsia="nl-NL"/>
        </w:rPr>
      </w:pPr>
    </w:p>
    <w:p w:rsidR="000B64E0" w:rsidRDefault="000B64E0" w:rsidP="00D411EE">
      <w:pPr>
        <w:tabs>
          <w:tab w:val="left" w:pos="1080"/>
        </w:tabs>
        <w:spacing w:after="0" w:line="240" w:lineRule="auto"/>
        <w:rPr>
          <w:rFonts w:eastAsia="Times New Roman" w:cs="Times New Roman"/>
          <w:szCs w:val="24"/>
          <w:lang w:eastAsia="nl-NL"/>
        </w:rPr>
      </w:pPr>
      <w:proofErr w:type="spellStart"/>
      <w:r>
        <w:rPr>
          <w:rFonts w:eastAsia="Times New Roman" w:cs="Times New Roman"/>
          <w:szCs w:val="24"/>
          <w:lang w:eastAsia="nl-NL"/>
        </w:rPr>
        <w:t>Hab</w:t>
      </w:r>
      <w:proofErr w:type="spellEnd"/>
      <w:r>
        <w:rPr>
          <w:rFonts w:eastAsia="Times New Roman" w:cs="Times New Roman"/>
          <w:szCs w:val="24"/>
          <w:lang w:eastAsia="nl-NL"/>
        </w:rPr>
        <w:tab/>
      </w:r>
      <w:proofErr w:type="spellStart"/>
      <w:r>
        <w:rPr>
          <w:rFonts w:eastAsia="Times New Roman" w:cs="Times New Roman"/>
          <w:szCs w:val="24"/>
          <w:lang w:eastAsia="nl-NL"/>
        </w:rPr>
        <w:t>Haakarmbak</w:t>
      </w:r>
      <w:proofErr w:type="spellEnd"/>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HAVO</w:t>
      </w:r>
      <w:r w:rsidRPr="00D411EE">
        <w:rPr>
          <w:rFonts w:eastAsia="Times New Roman" w:cs="Times New Roman"/>
          <w:szCs w:val="24"/>
          <w:lang w:eastAsia="nl-NL"/>
        </w:rPr>
        <w:tab/>
        <w:t>Hoger Algemeen Voortgezet Onderwijs</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HKZ</w:t>
      </w:r>
      <w:r w:rsidRPr="00D411EE">
        <w:rPr>
          <w:rFonts w:eastAsia="Times New Roman" w:cs="Times New Roman"/>
          <w:szCs w:val="24"/>
          <w:lang w:eastAsia="nl-NL"/>
        </w:rPr>
        <w:tab/>
        <w:t>Harmonisatie Kwaliteitsbeoordeling in de Zorgsector</w:t>
      </w:r>
    </w:p>
    <w:p w:rsidR="00D411EE" w:rsidRDefault="00AD24D1"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lastRenderedPageBreak/>
        <w:t>HPV</w:t>
      </w:r>
      <w:r>
        <w:rPr>
          <w:rFonts w:eastAsia="Times New Roman" w:cs="Times New Roman"/>
          <w:szCs w:val="24"/>
          <w:lang w:eastAsia="nl-NL"/>
        </w:rPr>
        <w:tab/>
        <w:t>Humaan Papillomav</w:t>
      </w:r>
      <w:r w:rsidR="008C5950">
        <w:rPr>
          <w:rFonts w:eastAsia="Times New Roman" w:cs="Times New Roman"/>
          <w:szCs w:val="24"/>
          <w:lang w:eastAsia="nl-NL"/>
        </w:rPr>
        <w:t>irus</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HV</w:t>
      </w:r>
      <w:r>
        <w:rPr>
          <w:rFonts w:eastAsia="Times New Roman" w:cs="Times New Roman"/>
          <w:szCs w:val="24"/>
          <w:lang w:eastAsia="nl-NL"/>
        </w:rPr>
        <w:tab/>
        <w:t>Hulpverleningsvoertuig</w:t>
      </w:r>
    </w:p>
    <w:p w:rsidR="00D411EE" w:rsidRPr="00D411EE" w:rsidRDefault="00D411EE" w:rsidP="00D411EE">
      <w:pPr>
        <w:tabs>
          <w:tab w:val="left" w:pos="1080"/>
        </w:tabs>
        <w:spacing w:after="0" w:line="240" w:lineRule="auto"/>
        <w:rPr>
          <w:rFonts w:eastAsia="Times New Roman" w:cs="Times New Roman"/>
          <w:szCs w:val="24"/>
          <w:highlight w:val="yellow"/>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ICT</w:t>
      </w:r>
      <w:r w:rsidRPr="00D411EE">
        <w:rPr>
          <w:rFonts w:eastAsia="Times New Roman" w:cs="Times New Roman"/>
          <w:szCs w:val="24"/>
          <w:lang w:eastAsia="nl-NL"/>
        </w:rPr>
        <w:tab/>
        <w:t>Informatie en Communicatie Technologie</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IFV</w:t>
      </w:r>
      <w:r w:rsidRPr="00D411EE">
        <w:rPr>
          <w:rFonts w:eastAsia="Times New Roman" w:cs="Times New Roman"/>
          <w:szCs w:val="24"/>
          <w:lang w:eastAsia="nl-NL"/>
        </w:rPr>
        <w:tab/>
        <w:t>Instituut Fysieke Veiligheid</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IGZ</w:t>
      </w:r>
      <w:r w:rsidRPr="00D411EE">
        <w:rPr>
          <w:rFonts w:eastAsia="Times New Roman" w:cs="Times New Roman"/>
          <w:szCs w:val="24"/>
          <w:lang w:eastAsia="nl-NL"/>
        </w:rPr>
        <w:tab/>
        <w:t>Inspectie voor de Gezondheidszorg</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IKB</w:t>
      </w:r>
      <w:r>
        <w:rPr>
          <w:rFonts w:eastAsia="Times New Roman" w:cs="Times New Roman"/>
          <w:szCs w:val="24"/>
          <w:lang w:eastAsia="nl-NL"/>
        </w:rPr>
        <w:tab/>
      </w:r>
      <w:r w:rsidR="006529E1">
        <w:rPr>
          <w:rFonts w:eastAsia="Times New Roman" w:cs="Times New Roman"/>
          <w:szCs w:val="24"/>
          <w:lang w:eastAsia="nl-NL"/>
        </w:rPr>
        <w:t>Individueel Keuzenbudget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IM</w:t>
      </w:r>
      <w:r w:rsidRPr="00D411EE">
        <w:rPr>
          <w:rFonts w:eastAsia="Times New Roman" w:cs="Times New Roman"/>
          <w:szCs w:val="24"/>
          <w:lang w:eastAsia="nl-NL"/>
        </w:rPr>
        <w:tab/>
        <w:t>Informatiemanagement</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IMOC</w:t>
      </w:r>
      <w:r w:rsidRPr="00D411EE">
        <w:rPr>
          <w:rFonts w:eastAsia="Times New Roman" w:cs="Times New Roman"/>
          <w:szCs w:val="24"/>
          <w:lang w:eastAsia="nl-NL"/>
        </w:rPr>
        <w:tab/>
        <w:t>Indexcijfer Materiële Overheidsconsumptie</w:t>
      </w:r>
    </w:p>
    <w:p w:rsidR="003579E2" w:rsidRPr="00764AF3" w:rsidRDefault="003579E2" w:rsidP="00D411EE">
      <w:pPr>
        <w:tabs>
          <w:tab w:val="left" w:pos="1080"/>
        </w:tabs>
        <w:spacing w:after="0" w:line="240" w:lineRule="auto"/>
        <w:rPr>
          <w:rFonts w:eastAsia="Times New Roman" w:cs="Times New Roman"/>
          <w:szCs w:val="24"/>
          <w:lang w:val="en-GB" w:eastAsia="nl-NL"/>
        </w:rPr>
      </w:pPr>
      <w:r w:rsidRPr="00764AF3">
        <w:rPr>
          <w:rFonts w:eastAsia="Times New Roman" w:cs="Times New Roman"/>
          <w:szCs w:val="24"/>
          <w:lang w:val="en-GB" w:eastAsia="nl-NL"/>
        </w:rPr>
        <w:t>I/S</w:t>
      </w:r>
      <w:r w:rsidRPr="00764AF3">
        <w:rPr>
          <w:rFonts w:eastAsia="Times New Roman" w:cs="Times New Roman"/>
          <w:szCs w:val="24"/>
          <w:lang w:val="en-GB" w:eastAsia="nl-NL"/>
        </w:rPr>
        <w:tab/>
      </w:r>
      <w:proofErr w:type="spellStart"/>
      <w:r w:rsidRPr="00764AF3">
        <w:rPr>
          <w:rFonts w:eastAsia="Times New Roman" w:cs="Times New Roman"/>
          <w:szCs w:val="24"/>
          <w:lang w:val="en-GB" w:eastAsia="nl-NL"/>
        </w:rPr>
        <w:t>Incidenteel</w:t>
      </w:r>
      <w:proofErr w:type="spellEnd"/>
      <w:r w:rsidRPr="00764AF3">
        <w:rPr>
          <w:rFonts w:eastAsia="Times New Roman" w:cs="Times New Roman"/>
          <w:szCs w:val="24"/>
          <w:lang w:val="en-GB" w:eastAsia="nl-NL"/>
        </w:rPr>
        <w:t>/</w:t>
      </w:r>
      <w:proofErr w:type="spellStart"/>
      <w:r w:rsidRPr="00764AF3">
        <w:rPr>
          <w:rFonts w:eastAsia="Times New Roman" w:cs="Times New Roman"/>
          <w:szCs w:val="24"/>
          <w:lang w:val="en-GB" w:eastAsia="nl-NL"/>
        </w:rPr>
        <w:t>structureel</w:t>
      </w:r>
      <w:proofErr w:type="spellEnd"/>
    </w:p>
    <w:p w:rsidR="00D411EE" w:rsidRPr="00764AF3" w:rsidRDefault="00D411EE" w:rsidP="00D411EE">
      <w:pPr>
        <w:tabs>
          <w:tab w:val="left" w:pos="1080"/>
        </w:tabs>
        <w:spacing w:after="0" w:line="240" w:lineRule="auto"/>
        <w:rPr>
          <w:rFonts w:eastAsia="Times New Roman" w:cs="Times New Roman"/>
          <w:szCs w:val="24"/>
          <w:lang w:val="en-GB" w:eastAsia="nl-NL"/>
        </w:rPr>
      </w:pPr>
      <w:r w:rsidRPr="00764AF3">
        <w:rPr>
          <w:rFonts w:eastAsia="Times New Roman" w:cs="Times New Roman"/>
          <w:szCs w:val="24"/>
          <w:lang w:val="en-GB" w:eastAsia="nl-NL"/>
        </w:rPr>
        <w:t>ISO</w:t>
      </w:r>
      <w:r w:rsidRPr="00764AF3">
        <w:rPr>
          <w:rFonts w:eastAsia="Times New Roman" w:cs="Times New Roman"/>
          <w:szCs w:val="24"/>
          <w:lang w:val="en-GB" w:eastAsia="nl-NL"/>
        </w:rPr>
        <w:tab/>
        <w:t>International Organisation for Standardization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IV&amp;J</w:t>
      </w:r>
      <w:r w:rsidRPr="00D411EE">
        <w:rPr>
          <w:rFonts w:eastAsia="Times New Roman" w:cs="Times New Roman"/>
          <w:szCs w:val="24"/>
          <w:lang w:eastAsia="nl-NL"/>
        </w:rPr>
        <w:tab/>
        <w:t>Inspectie Veiligheid en Justitie</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JGZ</w:t>
      </w:r>
      <w:r w:rsidRPr="00D411EE">
        <w:rPr>
          <w:rFonts w:eastAsia="Times New Roman" w:cs="Times New Roman"/>
          <w:szCs w:val="24"/>
          <w:lang w:eastAsia="nl-NL"/>
        </w:rPr>
        <w:tab/>
        <w:t>Jeugdgezondheidszorg</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KMar</w:t>
      </w:r>
      <w:proofErr w:type="spellEnd"/>
      <w:r w:rsidRPr="00D411EE">
        <w:rPr>
          <w:rFonts w:eastAsia="Times New Roman" w:cs="Times New Roman"/>
          <w:szCs w:val="24"/>
          <w:lang w:eastAsia="nl-NL"/>
        </w:rPr>
        <w:tab/>
        <w:t>Koninklijke Marechaussee</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LOBA</w:t>
      </w:r>
      <w:r w:rsidRPr="00D411EE">
        <w:rPr>
          <w:rFonts w:eastAsia="Times New Roman" w:cs="Times New Roman"/>
          <w:szCs w:val="24"/>
          <w:lang w:eastAsia="nl-NL"/>
        </w:rPr>
        <w:tab/>
        <w:t xml:space="preserve">Landelijk Overleg </w:t>
      </w:r>
      <w:proofErr w:type="spellStart"/>
      <w:r w:rsidRPr="00D411EE">
        <w:rPr>
          <w:rFonts w:eastAsia="Times New Roman" w:cs="Times New Roman"/>
          <w:szCs w:val="24"/>
          <w:lang w:eastAsia="nl-NL"/>
        </w:rPr>
        <w:t>Brandweerspecifieke</w:t>
      </w:r>
      <w:proofErr w:type="spellEnd"/>
      <w:r w:rsidRPr="00D411EE">
        <w:rPr>
          <w:rFonts w:eastAsia="Times New Roman" w:cs="Times New Roman"/>
          <w:szCs w:val="24"/>
          <w:lang w:eastAsia="nl-NL"/>
        </w:rPr>
        <w:t xml:space="preserve"> Arbeidsvoorwaarden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LMO</w:t>
      </w:r>
      <w:r w:rsidRPr="00D411EE">
        <w:rPr>
          <w:rFonts w:eastAsia="Times New Roman" w:cs="Times New Roman"/>
          <w:szCs w:val="24"/>
          <w:lang w:eastAsia="nl-NL"/>
        </w:rPr>
        <w:tab/>
        <w:t>Landelijke meldkamerorganisatie</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MBO</w:t>
      </w:r>
      <w:r w:rsidRPr="00D411EE">
        <w:rPr>
          <w:rFonts w:eastAsia="Times New Roman" w:cs="Times New Roman"/>
          <w:szCs w:val="24"/>
          <w:lang w:eastAsia="nl-NL"/>
        </w:rPr>
        <w:tab/>
        <w:t>Middelbaar Beroepsonderwijs</w:t>
      </w:r>
    </w:p>
    <w:p w:rsidR="00D411EE" w:rsidRDefault="00D411EE" w:rsidP="00D411EE">
      <w:pPr>
        <w:tabs>
          <w:tab w:val="left" w:pos="1080"/>
        </w:tabs>
        <w:spacing w:after="0" w:line="240" w:lineRule="auto"/>
        <w:rPr>
          <w:rFonts w:eastAsia="Times New Roman" w:cs="Times New Roman"/>
          <w:lang w:eastAsia="nl-NL"/>
        </w:rPr>
      </w:pPr>
      <w:r w:rsidRPr="00D411EE">
        <w:rPr>
          <w:rFonts w:eastAsia="Times New Roman" w:cs="Times New Roman"/>
          <w:szCs w:val="24"/>
          <w:lang w:eastAsia="nl-NL"/>
        </w:rPr>
        <w:t>MICK</w:t>
      </w:r>
      <w:r w:rsidRPr="00D411EE">
        <w:rPr>
          <w:rFonts w:eastAsia="Times New Roman" w:cs="Times New Roman"/>
          <w:szCs w:val="24"/>
          <w:lang w:eastAsia="nl-NL"/>
        </w:rPr>
        <w:tab/>
      </w:r>
      <w:r w:rsidRPr="00D411EE">
        <w:rPr>
          <w:rFonts w:eastAsia="Times New Roman" w:cs="Times New Roman"/>
          <w:lang w:eastAsia="nl-NL"/>
        </w:rPr>
        <w:t>Meld- en Informatie Centrum Kennemerland</w:t>
      </w:r>
    </w:p>
    <w:p w:rsidR="003579E2" w:rsidRDefault="000B64E0" w:rsidP="00D411EE">
      <w:pPr>
        <w:tabs>
          <w:tab w:val="left" w:pos="1080"/>
        </w:tabs>
        <w:spacing w:after="0" w:line="240" w:lineRule="auto"/>
        <w:rPr>
          <w:rFonts w:eastAsia="Times New Roman" w:cs="Times New Roman"/>
          <w:lang w:eastAsia="nl-NL"/>
        </w:rPr>
      </w:pPr>
      <w:r>
        <w:rPr>
          <w:rFonts w:eastAsia="Times New Roman" w:cs="Times New Roman"/>
          <w:lang w:eastAsia="nl-NL"/>
        </w:rPr>
        <w:t>MJIP</w:t>
      </w:r>
      <w:r>
        <w:rPr>
          <w:rFonts w:eastAsia="Times New Roman" w:cs="Times New Roman"/>
          <w:lang w:eastAsia="nl-NL"/>
        </w:rPr>
        <w:tab/>
      </w:r>
      <w:proofErr w:type="spellStart"/>
      <w:r>
        <w:rPr>
          <w:rFonts w:eastAsia="Times New Roman" w:cs="Times New Roman"/>
          <w:lang w:eastAsia="nl-NL"/>
        </w:rPr>
        <w:t>Meerjareninvesteringsp</w:t>
      </w:r>
      <w:r w:rsidR="003579E2">
        <w:rPr>
          <w:rFonts w:eastAsia="Times New Roman" w:cs="Times New Roman"/>
          <w:lang w:eastAsia="nl-NL"/>
        </w:rPr>
        <w:t>lan</w:t>
      </w:r>
      <w:proofErr w:type="spellEnd"/>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lang w:eastAsia="nl-NL"/>
        </w:rPr>
        <w:t>MKA</w:t>
      </w:r>
      <w:r w:rsidRPr="00D411EE">
        <w:rPr>
          <w:rFonts w:eastAsia="Times New Roman" w:cs="Times New Roman"/>
          <w:lang w:eastAsia="nl-NL"/>
        </w:rPr>
        <w:tab/>
        <w:t>Meldkamer Ambulance</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MMK</w:t>
      </w:r>
      <w:r w:rsidRPr="00D411EE">
        <w:rPr>
          <w:rFonts w:eastAsia="Times New Roman" w:cs="Times New Roman"/>
          <w:szCs w:val="24"/>
          <w:lang w:eastAsia="nl-NL"/>
        </w:rPr>
        <w:tab/>
        <w:t>Medische Milieukunde</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MOTO</w:t>
      </w:r>
      <w:r w:rsidRPr="00D411EE">
        <w:rPr>
          <w:rFonts w:eastAsia="Times New Roman" w:cs="Times New Roman"/>
          <w:szCs w:val="24"/>
          <w:lang w:eastAsia="nl-NL"/>
        </w:rPr>
        <w:tab/>
        <w:t>Multidisciplinair Opleiden Trainen Oefenen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MOTOM</w:t>
      </w:r>
      <w:r w:rsidRPr="00D411EE">
        <w:rPr>
          <w:rFonts w:eastAsia="Times New Roman" w:cs="Times New Roman"/>
          <w:szCs w:val="24"/>
          <w:lang w:eastAsia="nl-NL"/>
        </w:rPr>
        <w:tab/>
        <w:t>Multidisciplinair Opleiden Trainen Oefenen Meldkamer</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MPC</w:t>
      </w:r>
      <w:r w:rsidRPr="00D411EE">
        <w:rPr>
          <w:rFonts w:eastAsia="Times New Roman" w:cs="Times New Roman"/>
          <w:szCs w:val="24"/>
          <w:lang w:eastAsia="nl-NL"/>
        </w:rPr>
        <w:tab/>
        <w:t>Multi Proces Coördinator</w:t>
      </w:r>
    </w:p>
    <w:p w:rsidR="000322FA" w:rsidRPr="00D411EE" w:rsidRDefault="000322FA"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MVA</w:t>
      </w:r>
      <w:r w:rsidR="006529E1">
        <w:rPr>
          <w:rFonts w:eastAsia="Times New Roman" w:cs="Times New Roman"/>
          <w:szCs w:val="24"/>
          <w:lang w:eastAsia="nl-NL"/>
        </w:rPr>
        <w:tab/>
        <w:t>Materiële vaste activa</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lang w:eastAsia="nl-NL"/>
        </w:rPr>
      </w:pPr>
      <w:r w:rsidRPr="00D411EE">
        <w:rPr>
          <w:rFonts w:eastAsia="Times New Roman" w:cs="Times New Roman"/>
          <w:lang w:eastAsia="nl-NL"/>
        </w:rPr>
        <w:t>NCJ</w:t>
      </w:r>
      <w:r w:rsidRPr="00D411EE">
        <w:rPr>
          <w:rFonts w:eastAsia="Times New Roman" w:cs="Times New Roman"/>
          <w:lang w:eastAsia="nl-NL"/>
        </w:rPr>
        <w:tab/>
        <w:t>Nederlands Centrum Jeugdgezondheid</w:t>
      </w:r>
    </w:p>
    <w:p w:rsidR="00D411EE" w:rsidRPr="00D411EE" w:rsidRDefault="00D411EE" w:rsidP="00D411EE">
      <w:pPr>
        <w:tabs>
          <w:tab w:val="left" w:pos="1080"/>
        </w:tabs>
        <w:spacing w:after="0" w:line="240" w:lineRule="auto"/>
        <w:rPr>
          <w:rFonts w:eastAsia="Times New Roman" w:cs="Times New Roman"/>
          <w:lang w:eastAsia="nl-NL"/>
        </w:rPr>
      </w:pPr>
      <w:proofErr w:type="spellStart"/>
      <w:r w:rsidRPr="00D411EE">
        <w:rPr>
          <w:rFonts w:eastAsia="Times New Roman" w:cs="Times New Roman"/>
          <w:lang w:eastAsia="nl-NL"/>
        </w:rPr>
        <w:t>Nza</w:t>
      </w:r>
      <w:proofErr w:type="spellEnd"/>
      <w:r w:rsidRPr="00D411EE">
        <w:rPr>
          <w:rFonts w:eastAsia="Times New Roman" w:cs="Times New Roman"/>
          <w:lang w:eastAsia="nl-NL"/>
        </w:rPr>
        <w:tab/>
        <w:t>Nederlandse Zorgautoriteit</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OGGZ</w:t>
      </w:r>
      <w:r w:rsidRPr="00D411EE">
        <w:rPr>
          <w:rFonts w:eastAsia="Times New Roman" w:cs="Times New Roman"/>
          <w:szCs w:val="24"/>
          <w:lang w:eastAsia="nl-NL"/>
        </w:rPr>
        <w:tab/>
        <w:t>Openbare Geestelijke Gezondheidszorg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OGS</w:t>
      </w:r>
      <w:r w:rsidRPr="00D411EE">
        <w:rPr>
          <w:rFonts w:eastAsia="Times New Roman" w:cs="Times New Roman"/>
          <w:szCs w:val="24"/>
          <w:lang w:eastAsia="nl-NL"/>
        </w:rPr>
        <w:tab/>
        <w:t>Ongevallen gevaarlijke stoffen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OGZ</w:t>
      </w:r>
      <w:r w:rsidRPr="00D411EE">
        <w:rPr>
          <w:rFonts w:eastAsia="Times New Roman" w:cs="Times New Roman"/>
          <w:szCs w:val="24"/>
          <w:lang w:eastAsia="nl-NL"/>
        </w:rPr>
        <w:tab/>
        <w:t>Openbare Gezondheidszorg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O&amp;O</w:t>
      </w:r>
      <w:r w:rsidRPr="00D411EE">
        <w:rPr>
          <w:rFonts w:eastAsia="Times New Roman" w:cs="Times New Roman"/>
          <w:szCs w:val="24"/>
          <w:lang w:eastAsia="nl-NL"/>
        </w:rPr>
        <w:tab/>
        <w:t>Opleiden en oefenen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OOV</w:t>
      </w:r>
      <w:r w:rsidRPr="00D411EE">
        <w:rPr>
          <w:rFonts w:eastAsia="Times New Roman" w:cs="Times New Roman"/>
          <w:szCs w:val="24"/>
          <w:lang w:eastAsia="nl-NL"/>
        </w:rPr>
        <w:tab/>
        <w:t xml:space="preserve">Openbare Orde en Veiligheid </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OT</w:t>
      </w:r>
      <w:r w:rsidRPr="00D411EE">
        <w:rPr>
          <w:rFonts w:eastAsia="Times New Roman" w:cs="Times New Roman"/>
          <w:szCs w:val="24"/>
          <w:lang w:eastAsia="nl-NL"/>
        </w:rPr>
        <w:tab/>
        <w:t>Operationeel Team</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OTO</w:t>
      </w:r>
      <w:r w:rsidRPr="00D411EE">
        <w:rPr>
          <w:rFonts w:eastAsia="Times New Roman" w:cs="Times New Roman"/>
          <w:szCs w:val="24"/>
          <w:lang w:eastAsia="nl-NL"/>
        </w:rPr>
        <w:tab/>
        <w:t>Opleiden Trainen en Oefenen</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OvD</w:t>
      </w:r>
      <w:proofErr w:type="spellEnd"/>
      <w:r w:rsidRPr="00D411EE">
        <w:rPr>
          <w:rFonts w:eastAsia="Times New Roman" w:cs="Times New Roman"/>
          <w:szCs w:val="24"/>
          <w:lang w:eastAsia="nl-NL"/>
        </w:rPr>
        <w:t>-P’s</w:t>
      </w:r>
      <w:r w:rsidRPr="00D411EE">
        <w:rPr>
          <w:rFonts w:eastAsia="Times New Roman" w:cs="Times New Roman"/>
          <w:szCs w:val="24"/>
          <w:lang w:eastAsia="nl-NL"/>
        </w:rPr>
        <w:tab/>
        <w:t>Officieren van Dienst Politie</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PGO</w:t>
      </w:r>
      <w:r w:rsidRPr="00D411EE">
        <w:rPr>
          <w:rFonts w:eastAsia="Times New Roman" w:cs="Times New Roman"/>
          <w:szCs w:val="24"/>
          <w:lang w:eastAsia="nl-NL"/>
        </w:rPr>
        <w:tab/>
        <w:t>Preventief gezondheidsonderzoek</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 xml:space="preserve">PLB </w:t>
      </w:r>
      <w:r w:rsidR="006529E1">
        <w:rPr>
          <w:rFonts w:eastAsia="Times New Roman" w:cs="Times New Roman"/>
          <w:szCs w:val="24"/>
          <w:lang w:eastAsia="nl-NL"/>
        </w:rPr>
        <w:tab/>
        <w:t>Persoonlijke levensfasebudget</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RAK</w:t>
      </w:r>
      <w:r w:rsidRPr="00D411EE">
        <w:rPr>
          <w:rFonts w:eastAsia="Times New Roman" w:cs="Times New Roman"/>
          <w:szCs w:val="24"/>
          <w:lang w:eastAsia="nl-NL"/>
        </w:rPr>
        <w:tab/>
        <w:t>Reserve aanvaardbare kosten</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RAV</w:t>
      </w:r>
      <w:r w:rsidRPr="00D411EE">
        <w:rPr>
          <w:rFonts w:eastAsia="Times New Roman" w:cs="Times New Roman"/>
          <w:szCs w:val="24"/>
          <w:lang w:eastAsia="nl-NL"/>
        </w:rPr>
        <w:tab/>
        <w:t>Regionale Ambulance Voorziening</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RCC</w:t>
      </w:r>
      <w:r w:rsidRPr="00D411EE">
        <w:rPr>
          <w:rFonts w:eastAsia="Times New Roman" w:cs="Times New Roman"/>
          <w:szCs w:val="24"/>
          <w:lang w:eastAsia="nl-NL"/>
        </w:rPr>
        <w:tab/>
        <w:t>Regionaal Commando Centrum</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RIVM</w:t>
      </w:r>
      <w:r w:rsidRPr="00D411EE">
        <w:rPr>
          <w:rFonts w:eastAsia="Times New Roman" w:cs="Times New Roman"/>
          <w:szCs w:val="24"/>
          <w:lang w:eastAsia="nl-NL"/>
        </w:rPr>
        <w:tab/>
        <w:t>Rijksinstituut voor Volksgezondheid en Milieu</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RVP</w:t>
      </w:r>
      <w:r w:rsidRPr="00D411EE">
        <w:rPr>
          <w:rFonts w:eastAsia="Times New Roman" w:cs="Times New Roman"/>
          <w:szCs w:val="24"/>
          <w:lang w:eastAsia="nl-NL"/>
        </w:rPr>
        <w:tab/>
        <w:t>Rijksvaccinatieprogramma</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RUD</w:t>
      </w:r>
      <w:r w:rsidRPr="00D411EE">
        <w:rPr>
          <w:rFonts w:eastAsia="Times New Roman" w:cs="Times New Roman"/>
          <w:szCs w:val="24"/>
          <w:lang w:eastAsia="nl-NL"/>
        </w:rPr>
        <w:tab/>
        <w:t>Regionale Uitvoeringsdienst</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lastRenderedPageBreak/>
        <w:t>SLA</w:t>
      </w:r>
      <w:r w:rsidRPr="00D411EE">
        <w:rPr>
          <w:rFonts w:eastAsia="Times New Roman" w:cs="Times New Roman"/>
          <w:szCs w:val="24"/>
          <w:lang w:eastAsia="nl-NL"/>
        </w:rPr>
        <w:tab/>
        <w:t>Service Level Agreement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SOA</w:t>
      </w:r>
      <w:r w:rsidRPr="00D411EE">
        <w:rPr>
          <w:rFonts w:eastAsia="Times New Roman" w:cs="Times New Roman"/>
          <w:szCs w:val="24"/>
          <w:lang w:eastAsia="nl-NL"/>
        </w:rPr>
        <w:tab/>
        <w:t>Seksueel overdraagbare aandoening</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6B3D3F" w:rsidRDefault="00D411EE" w:rsidP="00D411EE">
      <w:pPr>
        <w:tabs>
          <w:tab w:val="left" w:pos="1080"/>
        </w:tabs>
        <w:spacing w:after="0" w:line="240" w:lineRule="auto"/>
        <w:rPr>
          <w:rFonts w:eastAsia="Times New Roman" w:cs="Times New Roman"/>
          <w:szCs w:val="24"/>
          <w:lang w:val="en-GB" w:eastAsia="nl-NL"/>
        </w:rPr>
      </w:pPr>
      <w:r w:rsidRPr="00D411EE">
        <w:rPr>
          <w:rFonts w:eastAsia="Times New Roman" w:cs="Times New Roman"/>
          <w:szCs w:val="24"/>
          <w:lang w:val="en-GB" w:eastAsia="nl-NL"/>
        </w:rPr>
        <w:t>TBC</w:t>
      </w:r>
      <w:r w:rsidRPr="00D411EE">
        <w:rPr>
          <w:rFonts w:eastAsia="Times New Roman" w:cs="Times New Roman"/>
          <w:szCs w:val="24"/>
          <w:lang w:val="en-GB" w:eastAsia="nl-NL"/>
        </w:rPr>
        <w:tab/>
      </w:r>
      <w:proofErr w:type="spellStart"/>
      <w:r w:rsidRPr="006B3D3F">
        <w:rPr>
          <w:rFonts w:eastAsia="Times New Roman" w:cs="Times New Roman"/>
          <w:szCs w:val="24"/>
          <w:lang w:val="en-GB" w:eastAsia="nl-NL"/>
        </w:rPr>
        <w:t>Tuberculose</w:t>
      </w:r>
      <w:proofErr w:type="spellEnd"/>
    </w:p>
    <w:p w:rsidR="00D411EE" w:rsidRPr="006B3D3F" w:rsidRDefault="00D411EE" w:rsidP="00D411EE">
      <w:pPr>
        <w:tabs>
          <w:tab w:val="left" w:pos="1080"/>
        </w:tabs>
        <w:spacing w:after="0" w:line="240" w:lineRule="auto"/>
        <w:rPr>
          <w:rFonts w:eastAsia="Times New Roman" w:cs="Times New Roman"/>
          <w:szCs w:val="24"/>
          <w:lang w:val="en-GB" w:eastAsia="nl-NL"/>
        </w:rPr>
      </w:pPr>
      <w:r w:rsidRPr="006B3D3F">
        <w:rPr>
          <w:rFonts w:eastAsia="Times New Roman" w:cs="Times New Roman"/>
          <w:szCs w:val="24"/>
          <w:lang w:val="en-GB" w:eastAsia="nl-NL"/>
        </w:rPr>
        <w:t>TC</w:t>
      </w:r>
      <w:r w:rsidRPr="006B3D3F">
        <w:rPr>
          <w:rFonts w:eastAsia="Times New Roman" w:cs="Times New Roman"/>
          <w:szCs w:val="24"/>
          <w:lang w:val="en-GB" w:eastAsia="nl-NL"/>
        </w:rPr>
        <w:tab/>
      </w:r>
      <w:proofErr w:type="spellStart"/>
      <w:r w:rsidRPr="006B3D3F">
        <w:rPr>
          <w:rFonts w:eastAsia="Times New Roman" w:cs="Times New Roman"/>
          <w:szCs w:val="24"/>
          <w:lang w:val="en-GB" w:eastAsia="nl-NL"/>
        </w:rPr>
        <w:t>Territoriale</w:t>
      </w:r>
      <w:proofErr w:type="spellEnd"/>
      <w:r w:rsidRPr="006B3D3F">
        <w:rPr>
          <w:rFonts w:eastAsia="Times New Roman" w:cs="Times New Roman"/>
          <w:szCs w:val="24"/>
          <w:lang w:val="en-GB" w:eastAsia="nl-NL"/>
        </w:rPr>
        <w:t xml:space="preserve"> </w:t>
      </w:r>
      <w:proofErr w:type="spellStart"/>
      <w:r w:rsidRPr="006B3D3F">
        <w:rPr>
          <w:rFonts w:eastAsia="Times New Roman" w:cs="Times New Roman"/>
          <w:szCs w:val="24"/>
          <w:lang w:val="en-GB" w:eastAsia="nl-NL"/>
        </w:rPr>
        <w:t>congruentie</w:t>
      </w:r>
      <w:proofErr w:type="spellEnd"/>
    </w:p>
    <w:p w:rsidR="00D411EE" w:rsidRPr="006B3D3F" w:rsidRDefault="00D411EE" w:rsidP="00D411EE">
      <w:pPr>
        <w:tabs>
          <w:tab w:val="left" w:pos="1080"/>
        </w:tabs>
        <w:spacing w:after="0" w:line="240" w:lineRule="auto"/>
        <w:rPr>
          <w:rFonts w:eastAsia="Times New Roman" w:cs="Times New Roman"/>
          <w:szCs w:val="24"/>
          <w:lang w:val="en-GB" w:eastAsia="nl-NL"/>
        </w:rPr>
      </w:pPr>
      <w:r w:rsidRPr="006B3D3F">
        <w:rPr>
          <w:rFonts w:eastAsia="Times New Roman" w:cs="Times New Roman"/>
          <w:szCs w:val="24"/>
          <w:lang w:val="en-GB" w:eastAsia="nl-NL"/>
        </w:rPr>
        <w:t>TS</w:t>
      </w:r>
      <w:r w:rsidRPr="006B3D3F">
        <w:rPr>
          <w:rFonts w:eastAsia="Times New Roman" w:cs="Times New Roman"/>
          <w:szCs w:val="24"/>
          <w:lang w:val="en-GB" w:eastAsia="nl-NL"/>
        </w:rPr>
        <w:tab/>
      </w:r>
      <w:proofErr w:type="spellStart"/>
      <w:r w:rsidRPr="006B3D3F">
        <w:rPr>
          <w:rFonts w:eastAsia="Times New Roman" w:cs="Times New Roman"/>
          <w:szCs w:val="24"/>
          <w:lang w:val="en-GB" w:eastAsia="nl-NL"/>
        </w:rPr>
        <w:t>Tankautospuit</w:t>
      </w:r>
      <w:proofErr w:type="spellEnd"/>
    </w:p>
    <w:p w:rsidR="00D411EE" w:rsidRPr="006B3D3F" w:rsidRDefault="00D411EE" w:rsidP="00D411EE">
      <w:pPr>
        <w:tabs>
          <w:tab w:val="left" w:pos="1080"/>
        </w:tabs>
        <w:spacing w:after="0" w:line="240" w:lineRule="auto"/>
        <w:rPr>
          <w:rFonts w:eastAsia="Times New Roman" w:cs="Times New Roman"/>
          <w:szCs w:val="24"/>
          <w:lang w:val="en-GB" w:eastAsia="nl-NL"/>
        </w:rPr>
      </w:pPr>
    </w:p>
    <w:p w:rsidR="00D411EE" w:rsidRPr="00F5515A" w:rsidRDefault="00D411EE" w:rsidP="00D411EE">
      <w:pPr>
        <w:tabs>
          <w:tab w:val="left" w:pos="1080"/>
        </w:tabs>
        <w:spacing w:after="0" w:line="240" w:lineRule="auto"/>
        <w:rPr>
          <w:rFonts w:eastAsia="Times New Roman" w:cs="Times New Roman"/>
          <w:szCs w:val="24"/>
          <w:lang w:eastAsia="nl-NL"/>
        </w:rPr>
      </w:pPr>
      <w:r w:rsidRPr="00F5515A">
        <w:rPr>
          <w:rFonts w:eastAsia="Times New Roman" w:cs="Times New Roman"/>
          <w:szCs w:val="24"/>
          <w:lang w:eastAsia="nl-NL"/>
        </w:rPr>
        <w:t>UMTS</w:t>
      </w:r>
      <w:r w:rsidRPr="00F5515A">
        <w:rPr>
          <w:rFonts w:eastAsia="Times New Roman" w:cs="Times New Roman"/>
          <w:szCs w:val="24"/>
          <w:lang w:eastAsia="nl-NL"/>
        </w:rPr>
        <w:tab/>
      </w:r>
      <w:r w:rsidRPr="00F5515A">
        <w:rPr>
          <w:rFonts w:eastAsia="Times New Roman" w:cs="Times New Roman"/>
          <w:bCs/>
          <w:szCs w:val="24"/>
          <w:lang w:eastAsia="nl-NL"/>
        </w:rPr>
        <w:t>Universal Mobile Telecommunications System</w:t>
      </w:r>
    </w:p>
    <w:p w:rsidR="00D411EE" w:rsidRPr="00F5515A" w:rsidRDefault="00D411EE" w:rsidP="00D411EE">
      <w:pPr>
        <w:tabs>
          <w:tab w:val="left" w:pos="1080"/>
        </w:tabs>
        <w:spacing w:after="0" w:line="240" w:lineRule="auto"/>
        <w:rPr>
          <w:rFonts w:eastAsia="Times New Roman" w:cs="Times New Roman"/>
          <w:szCs w:val="24"/>
          <w:lang w:eastAsia="nl-NL"/>
        </w:rPr>
      </w:pPr>
    </w:p>
    <w:p w:rsidR="000B64E0"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VBK</w:t>
      </w:r>
      <w:r>
        <w:rPr>
          <w:rFonts w:eastAsia="Times New Roman" w:cs="Times New Roman"/>
          <w:szCs w:val="24"/>
          <w:lang w:eastAsia="nl-NL"/>
        </w:rPr>
        <w:tab/>
        <w:t>Veiligheidsbureau Kennemerland</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VMBO</w:t>
      </w:r>
      <w:r w:rsidRPr="00D411EE">
        <w:rPr>
          <w:rFonts w:eastAsia="Times New Roman" w:cs="Times New Roman"/>
          <w:szCs w:val="24"/>
          <w:lang w:eastAsia="nl-NL"/>
        </w:rPr>
        <w:tab/>
        <w:t>Voorbereidend Middelbaar Beroepsonderwijs</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VMBO-T</w:t>
      </w:r>
      <w:r w:rsidRPr="00D411EE">
        <w:rPr>
          <w:rFonts w:eastAsia="Times New Roman" w:cs="Times New Roman"/>
          <w:szCs w:val="24"/>
          <w:lang w:eastAsia="nl-NL"/>
        </w:rPr>
        <w:tab/>
        <w:t>Voorbereidend Middelbaar Beroepsonderwijs – Theoretische Leerweg</w:t>
      </w:r>
    </w:p>
    <w:p w:rsidR="003579E2" w:rsidRPr="00D411EE" w:rsidRDefault="003579E2"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VR</w:t>
      </w:r>
      <w:r>
        <w:rPr>
          <w:rFonts w:eastAsia="Times New Roman" w:cs="Times New Roman"/>
          <w:szCs w:val="24"/>
          <w:lang w:eastAsia="nl-NL"/>
        </w:rPr>
        <w:tab/>
        <w:t>Veiligheidsregio</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VRK</w:t>
      </w:r>
      <w:r w:rsidRPr="00D411EE">
        <w:rPr>
          <w:rFonts w:eastAsia="Times New Roman" w:cs="Times New Roman"/>
          <w:szCs w:val="24"/>
          <w:lang w:eastAsia="nl-NL"/>
        </w:rPr>
        <w:tab/>
        <w:t>Veiligheidsregio Kennemerland</w:t>
      </w:r>
    </w:p>
    <w:p w:rsidR="000B64E0" w:rsidRPr="00D411EE" w:rsidRDefault="000B64E0"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VSO</w:t>
      </w:r>
      <w:r>
        <w:rPr>
          <w:rFonts w:eastAsia="Times New Roman" w:cs="Times New Roman"/>
          <w:szCs w:val="24"/>
          <w:lang w:eastAsia="nl-NL"/>
        </w:rPr>
        <w:tab/>
      </w:r>
      <w:proofErr w:type="spellStart"/>
      <w:r>
        <w:rPr>
          <w:rFonts w:eastAsia="Times New Roman" w:cs="Times New Roman"/>
          <w:szCs w:val="24"/>
          <w:lang w:eastAsia="nl-NL"/>
        </w:rPr>
        <w:t>Vroegsignaleringsoverleg</w:t>
      </w:r>
      <w:proofErr w:type="spellEnd"/>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VWO</w:t>
      </w:r>
      <w:r w:rsidRPr="00D411EE">
        <w:rPr>
          <w:rFonts w:eastAsia="Times New Roman" w:cs="Times New Roman"/>
          <w:szCs w:val="24"/>
          <w:lang w:eastAsia="nl-NL"/>
        </w:rPr>
        <w:tab/>
        <w:t>Voorbereidend Wetenschappelijk Onderwijs</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VWS</w:t>
      </w:r>
      <w:r w:rsidRPr="00D411EE">
        <w:rPr>
          <w:rFonts w:eastAsia="Times New Roman" w:cs="Times New Roman"/>
          <w:szCs w:val="24"/>
          <w:lang w:eastAsia="nl-NL"/>
        </w:rPr>
        <w:tab/>
        <w:t>Volksgezondheid, Welzijn en Sport</w:t>
      </w: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V&amp;J</w:t>
      </w:r>
      <w:r w:rsidRPr="00D411EE">
        <w:rPr>
          <w:rFonts w:eastAsia="Times New Roman" w:cs="Times New Roman"/>
          <w:szCs w:val="24"/>
          <w:lang w:eastAsia="nl-NL"/>
        </w:rPr>
        <w:tab/>
        <w:t>Veiligheid en Justitie</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Waz</w:t>
      </w:r>
      <w:proofErr w:type="spellEnd"/>
      <w:r w:rsidRPr="00D411EE">
        <w:rPr>
          <w:rFonts w:eastAsia="Times New Roman" w:cs="Times New Roman"/>
          <w:szCs w:val="24"/>
          <w:lang w:eastAsia="nl-NL"/>
        </w:rPr>
        <w:tab/>
        <w:t>Wet ambulancezorg</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Wmo</w:t>
      </w:r>
      <w:proofErr w:type="spellEnd"/>
      <w:r w:rsidRPr="00D411EE">
        <w:rPr>
          <w:rFonts w:eastAsia="Times New Roman" w:cs="Times New Roman"/>
          <w:szCs w:val="24"/>
          <w:lang w:eastAsia="nl-NL"/>
        </w:rPr>
        <w:tab/>
        <w:t>Wet maatschappelijke ondersteuning</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Wpg</w:t>
      </w:r>
      <w:proofErr w:type="spellEnd"/>
      <w:r w:rsidRPr="00D411EE">
        <w:rPr>
          <w:rFonts w:eastAsia="Times New Roman" w:cs="Times New Roman"/>
          <w:szCs w:val="24"/>
          <w:lang w:eastAsia="nl-NL"/>
        </w:rPr>
        <w:tab/>
        <w:t>Wet publieke gezondheid</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Wvr</w:t>
      </w:r>
      <w:proofErr w:type="spellEnd"/>
      <w:r w:rsidRPr="00D411EE">
        <w:rPr>
          <w:rFonts w:eastAsia="Times New Roman" w:cs="Times New Roman"/>
          <w:szCs w:val="24"/>
          <w:lang w:eastAsia="nl-NL"/>
        </w:rPr>
        <w:tab/>
        <w:t>Wet veiligheidsregio’s</w:t>
      </w:r>
    </w:p>
    <w:p w:rsidR="00D411EE" w:rsidRPr="00D411EE" w:rsidRDefault="00D411EE" w:rsidP="00D411EE">
      <w:pPr>
        <w:tabs>
          <w:tab w:val="left" w:pos="1080"/>
        </w:tabs>
        <w:spacing w:after="0" w:line="240" w:lineRule="auto"/>
        <w:rPr>
          <w:rFonts w:eastAsia="Times New Roman" w:cs="Times New Roman"/>
          <w:szCs w:val="24"/>
          <w:lang w:eastAsia="nl-NL"/>
        </w:rPr>
      </w:pPr>
    </w:p>
    <w:p w:rsidR="00D411EE" w:rsidRP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ZAT</w:t>
      </w:r>
      <w:r w:rsidRPr="00D411EE">
        <w:rPr>
          <w:rFonts w:eastAsia="Times New Roman" w:cs="Times New Roman"/>
          <w:szCs w:val="24"/>
          <w:lang w:eastAsia="nl-NL"/>
        </w:rPr>
        <w:tab/>
        <w:t>Zorg- en adviesteam</w:t>
      </w:r>
    </w:p>
    <w:p w:rsidR="00D411EE" w:rsidRDefault="00D411EE" w:rsidP="00D411EE">
      <w:pPr>
        <w:tabs>
          <w:tab w:val="left" w:pos="1080"/>
        </w:tabs>
        <w:spacing w:after="0" w:line="240" w:lineRule="auto"/>
        <w:rPr>
          <w:rFonts w:eastAsia="Times New Roman" w:cs="Times New Roman"/>
          <w:szCs w:val="24"/>
          <w:lang w:eastAsia="nl-NL"/>
        </w:rPr>
      </w:pPr>
      <w:r w:rsidRPr="00D411EE">
        <w:rPr>
          <w:rFonts w:eastAsia="Times New Roman" w:cs="Times New Roman"/>
          <w:szCs w:val="24"/>
          <w:lang w:eastAsia="nl-NL"/>
        </w:rPr>
        <w:t>ZN</w:t>
      </w:r>
      <w:r w:rsidRPr="00D411EE">
        <w:rPr>
          <w:rFonts w:eastAsia="Times New Roman" w:cs="Times New Roman"/>
          <w:szCs w:val="24"/>
          <w:lang w:eastAsia="nl-NL"/>
        </w:rPr>
        <w:tab/>
        <w:t>Zorgverzekeraars Nederland</w:t>
      </w:r>
    </w:p>
    <w:p w:rsidR="000322FA" w:rsidRPr="00D411EE" w:rsidRDefault="000322FA" w:rsidP="00D411EE">
      <w:pPr>
        <w:tabs>
          <w:tab w:val="left" w:pos="1080"/>
        </w:tabs>
        <w:spacing w:after="0" w:line="240" w:lineRule="auto"/>
        <w:rPr>
          <w:rFonts w:eastAsia="Times New Roman" w:cs="Times New Roman"/>
          <w:szCs w:val="24"/>
          <w:lang w:eastAsia="nl-NL"/>
        </w:rPr>
      </w:pPr>
      <w:r>
        <w:rPr>
          <w:rFonts w:eastAsia="Times New Roman" w:cs="Times New Roman"/>
          <w:szCs w:val="24"/>
          <w:lang w:eastAsia="nl-NL"/>
        </w:rPr>
        <w:t>ZSM</w:t>
      </w:r>
      <w:r>
        <w:rPr>
          <w:rFonts w:eastAsia="Times New Roman" w:cs="Times New Roman"/>
          <w:szCs w:val="24"/>
          <w:lang w:eastAsia="nl-NL"/>
        </w:rPr>
        <w:tab/>
        <w:t>Zo snel mogelijk (snelrechtmodel van het Openbaar Ministerie)</w:t>
      </w:r>
    </w:p>
    <w:p w:rsidR="00D411EE" w:rsidRPr="00D411EE" w:rsidRDefault="00D411EE" w:rsidP="00D411EE">
      <w:pPr>
        <w:tabs>
          <w:tab w:val="left" w:pos="1080"/>
        </w:tabs>
        <w:spacing w:after="0" w:line="240" w:lineRule="auto"/>
        <w:rPr>
          <w:rFonts w:eastAsia="Times New Roman" w:cs="Times New Roman"/>
          <w:szCs w:val="24"/>
          <w:lang w:eastAsia="nl-NL"/>
        </w:rPr>
      </w:pPr>
      <w:proofErr w:type="spellStart"/>
      <w:r w:rsidRPr="00D411EE">
        <w:rPr>
          <w:rFonts w:eastAsia="Times New Roman" w:cs="Times New Roman"/>
          <w:szCs w:val="24"/>
          <w:lang w:eastAsia="nl-NL"/>
        </w:rPr>
        <w:t>Zvw</w:t>
      </w:r>
      <w:proofErr w:type="spellEnd"/>
      <w:r w:rsidRPr="00D411EE">
        <w:rPr>
          <w:rFonts w:eastAsia="Times New Roman" w:cs="Times New Roman"/>
          <w:szCs w:val="24"/>
          <w:lang w:eastAsia="nl-NL"/>
        </w:rPr>
        <w:tab/>
        <w:t>Zorgverzekeringswet</w:t>
      </w:r>
    </w:p>
    <w:p w:rsidR="00D411EE" w:rsidRPr="00D411EE" w:rsidRDefault="00D411EE" w:rsidP="00D411EE"/>
    <w:p w:rsidR="00D411EE" w:rsidRPr="00396394" w:rsidRDefault="00D411EE" w:rsidP="00396394"/>
    <w:sectPr w:rsidR="00D411EE" w:rsidRPr="00396394" w:rsidSect="00AB49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7CB" w:rsidRDefault="00F047CB" w:rsidP="00ED797B">
      <w:pPr>
        <w:spacing w:after="0" w:line="240" w:lineRule="auto"/>
      </w:pPr>
      <w:r>
        <w:separator/>
      </w:r>
    </w:p>
  </w:endnote>
  <w:endnote w:type="continuationSeparator" w:id="0">
    <w:p w:rsidR="00F047CB" w:rsidRDefault="00F047CB" w:rsidP="00ED7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pex New Book">
    <w:altName w:val="Apex New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CB" w:rsidRDefault="00F047CB">
    <w:pPr>
      <w:pStyle w:val="Voettekst"/>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rPr>
      <w:t xml:space="preserve">Ontwerp programmabegroting 2018-2021 versie </w:t>
    </w:r>
    <w:r w:rsidR="002D6882">
      <w:rPr>
        <w:rFonts w:ascii="Calibri" w:eastAsiaTheme="majorEastAsia" w:hAnsi="Calibri" w:cstheme="majorBidi"/>
      </w:rPr>
      <w:t>commissies 10 april</w:t>
    </w:r>
    <w:r>
      <w:rPr>
        <w:rFonts w:ascii="Calibri" w:eastAsiaTheme="majorEastAsia" w:hAnsi="Calibri" w:cstheme="majorBidi"/>
      </w:rPr>
      <w:t xml:space="preserve">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4C6F" w:rsidRPr="000D4C6F">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F047CB" w:rsidRDefault="00F047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BB0" w:rsidRDefault="00955BB0" w:rsidP="00955BB0">
    <w:pPr>
      <w:pStyle w:val="Voettekst"/>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rPr>
      <w:t>Ontwerp programmabegroting 2018-2021 versie commissies 10 april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4C6F" w:rsidRPr="000D4C6F">
      <w:rPr>
        <w:rFonts w:asciiTheme="majorHAnsi" w:eastAsiaTheme="majorEastAsia" w:hAnsiTheme="majorHAnsi" w:cstheme="majorBidi"/>
        <w:noProof/>
      </w:rPr>
      <w:t>25</w:t>
    </w:r>
    <w:r>
      <w:rPr>
        <w:rFonts w:asciiTheme="majorHAnsi" w:eastAsiaTheme="majorEastAsia" w:hAnsiTheme="majorHAnsi" w:cstheme="majorBidi"/>
      </w:rPr>
      <w:fldChar w:fldCharType="end"/>
    </w:r>
  </w:p>
  <w:p w:rsidR="00F047CB" w:rsidRPr="00757AEA" w:rsidRDefault="00F047CB">
    <w:pPr>
      <w:pStyle w:val="Voettekst"/>
      <w:pBdr>
        <w:top w:val="thinThickSmallGap" w:sz="24" w:space="1" w:color="622423" w:themeColor="accent2" w:themeShade="7F"/>
      </w:pBdr>
      <w:rPr>
        <w:rFonts w:ascii="Calibri" w:eastAsiaTheme="majorEastAsia" w:hAnsi="Calibri" w:cstheme="majorBidi"/>
      </w:rPr>
    </w:pPr>
    <w:r w:rsidRPr="00757AEA">
      <w:rPr>
        <w:rFonts w:ascii="Calibri" w:eastAsiaTheme="majorEastAsia" w:hAnsi="Calibri" w:cstheme="majorBidi"/>
      </w:rPr>
      <w:tab/>
    </w:r>
    <w:r w:rsidRPr="00757AEA">
      <w:rPr>
        <w:rFonts w:ascii="Calibri" w:eastAsiaTheme="majorEastAsia" w:hAnsi="Calibri" w:cstheme="majorBidi"/>
      </w:rPr>
      <w:tab/>
    </w:r>
  </w:p>
  <w:p w:rsidR="00F047CB" w:rsidRDefault="00F047C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57" w:rsidRDefault="002E4357" w:rsidP="002E4357">
    <w:pPr>
      <w:pStyle w:val="Voettekst"/>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rPr>
      <w:t>Ontwerp programmabegroting 2018-2021 versie commissies 10 april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4C6F" w:rsidRPr="000D4C6F">
      <w:rPr>
        <w:rFonts w:asciiTheme="majorHAnsi" w:eastAsiaTheme="majorEastAsia" w:hAnsiTheme="majorHAnsi" w:cstheme="majorBidi"/>
        <w:noProof/>
      </w:rPr>
      <w:t>28</w:t>
    </w:r>
    <w:r>
      <w:rPr>
        <w:rFonts w:asciiTheme="majorHAnsi" w:eastAsiaTheme="majorEastAsia" w:hAnsiTheme="majorHAnsi" w:cstheme="majorBidi"/>
      </w:rPr>
      <w:fldChar w:fldCharType="end"/>
    </w:r>
  </w:p>
  <w:p w:rsidR="00F047CB" w:rsidRDefault="00F047CB">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357" w:rsidRDefault="002E4357" w:rsidP="002E4357">
    <w:pPr>
      <w:pStyle w:val="Voettekst"/>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rPr>
      <w:t>Ontwerp programmabegroting 2018-2021 versie commissies 10 april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4C6F" w:rsidRPr="000D4C6F">
      <w:rPr>
        <w:rFonts w:asciiTheme="majorHAnsi" w:eastAsiaTheme="majorEastAsia" w:hAnsiTheme="majorHAnsi" w:cstheme="majorBidi"/>
        <w:noProof/>
      </w:rPr>
      <w:t>29</w:t>
    </w:r>
    <w:r>
      <w:rPr>
        <w:rFonts w:asciiTheme="majorHAnsi" w:eastAsiaTheme="majorEastAsia" w:hAnsiTheme="majorHAnsi" w:cstheme="majorBidi"/>
      </w:rPr>
      <w:fldChar w:fldCharType="end"/>
    </w:r>
  </w:p>
  <w:p w:rsidR="00F047CB" w:rsidRPr="00757AEA" w:rsidRDefault="00F047CB">
    <w:pPr>
      <w:pStyle w:val="Voettekst"/>
      <w:pBdr>
        <w:top w:val="thinThickSmallGap" w:sz="24" w:space="1" w:color="622423" w:themeColor="accent2" w:themeShade="7F"/>
      </w:pBdr>
      <w:rPr>
        <w:rFonts w:ascii="Calibri" w:eastAsiaTheme="majorEastAsia" w:hAnsi="Calibri" w:cstheme="majorBidi"/>
      </w:rPr>
    </w:pPr>
    <w:r>
      <w:rPr>
        <w:rFonts w:ascii="Calibri" w:eastAsiaTheme="majorEastAsia" w:hAnsi="Calibri" w:cstheme="majorBidi"/>
      </w:rPr>
      <w:tab/>
    </w:r>
    <w:r>
      <w:rPr>
        <w:rFonts w:ascii="Calibri" w:eastAsiaTheme="majorEastAsia" w:hAnsi="Calibri" w:cstheme="majorBidi"/>
      </w:rPr>
      <w:tab/>
    </w:r>
    <w:r>
      <w:rPr>
        <w:rFonts w:ascii="Calibri" w:eastAsiaTheme="majorEastAsia" w:hAnsi="Calibri" w:cstheme="majorBidi"/>
      </w:rPr>
      <w:tab/>
    </w:r>
    <w:r>
      <w:rPr>
        <w:rFonts w:ascii="Calibri" w:eastAsiaTheme="majorEastAsia" w:hAnsi="Calibri" w:cstheme="majorBidi"/>
      </w:rPr>
      <w:tab/>
    </w:r>
    <w:r>
      <w:rPr>
        <w:rFonts w:ascii="Calibri" w:eastAsiaTheme="majorEastAsia" w:hAnsi="Calibri" w:cstheme="majorBidi"/>
      </w:rPr>
      <w:tab/>
    </w:r>
    <w:r w:rsidRPr="00757AEA">
      <w:rPr>
        <w:rFonts w:ascii="Calibri" w:eastAsiaTheme="majorEastAsia" w:hAnsi="Calibri" w:cstheme="majorBidi"/>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7CB" w:rsidRDefault="00F047CB">
    <w:pPr>
      <w:pStyle w:val="Voettekst"/>
      <w:pBdr>
        <w:top w:val="thinThickSmallGap" w:sz="24" w:space="1" w:color="622423" w:themeColor="accent2" w:themeShade="7F"/>
      </w:pBdr>
      <w:rPr>
        <w:rFonts w:asciiTheme="majorHAnsi" w:eastAsiaTheme="majorEastAsia" w:hAnsiTheme="majorHAnsi" w:cstheme="majorBidi"/>
      </w:rPr>
    </w:pPr>
    <w:r>
      <w:rPr>
        <w:rFonts w:ascii="Calibri" w:eastAsiaTheme="majorEastAsia" w:hAnsi="Calibri" w:cstheme="majorBidi"/>
      </w:rPr>
      <w:t>Ontwerp programmabegroting 2</w:t>
    </w:r>
    <w:r w:rsidR="00955BB0">
      <w:rPr>
        <w:rFonts w:ascii="Calibri" w:eastAsiaTheme="majorEastAsia" w:hAnsi="Calibri" w:cstheme="majorBidi"/>
      </w:rPr>
      <w:t>018-2021 versie commissies 10 april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0D4C6F" w:rsidRPr="000D4C6F">
      <w:rPr>
        <w:rFonts w:asciiTheme="majorHAnsi" w:eastAsiaTheme="majorEastAsia" w:hAnsiTheme="majorHAnsi" w:cstheme="majorBidi"/>
        <w:noProof/>
      </w:rPr>
      <w:t>50</w:t>
    </w:r>
    <w:r>
      <w:rPr>
        <w:rFonts w:asciiTheme="majorHAnsi" w:eastAsiaTheme="majorEastAsia" w:hAnsiTheme="majorHAnsi" w:cstheme="majorBidi"/>
      </w:rPr>
      <w:fldChar w:fldCharType="end"/>
    </w:r>
  </w:p>
  <w:p w:rsidR="00F047CB" w:rsidRDefault="00F047C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7CB" w:rsidRDefault="00F047CB" w:rsidP="00ED797B">
      <w:pPr>
        <w:spacing w:after="0" w:line="240" w:lineRule="auto"/>
      </w:pPr>
      <w:r>
        <w:separator/>
      </w:r>
    </w:p>
  </w:footnote>
  <w:footnote w:type="continuationSeparator" w:id="0">
    <w:p w:rsidR="00F047CB" w:rsidRDefault="00F047CB" w:rsidP="00ED797B">
      <w:pPr>
        <w:spacing w:after="0" w:line="240" w:lineRule="auto"/>
      </w:pPr>
      <w:r>
        <w:continuationSeparator/>
      </w:r>
    </w:p>
  </w:footnote>
  <w:footnote w:id="1">
    <w:p w:rsidR="00F047CB" w:rsidRDefault="00F047CB" w:rsidP="00FE2A3F">
      <w:pPr>
        <w:pStyle w:val="Voetnoottekst"/>
      </w:pPr>
      <w:r>
        <w:rPr>
          <w:rStyle w:val="Voetnootmarkering"/>
        </w:rPr>
        <w:footnoteRef/>
      </w:r>
      <w:r>
        <w:t xml:space="preserve"> NW4 (</w:t>
      </w:r>
      <w:proofErr w:type="spellStart"/>
      <w:r>
        <w:t>Noord-West</w:t>
      </w:r>
      <w:proofErr w:type="spellEnd"/>
      <w:r>
        <w:t xml:space="preserve"> 4) is de samenwerking van vier Veiligheidsregio’s in Noord-Holland</w:t>
      </w:r>
    </w:p>
  </w:footnote>
  <w:footnote w:id="2">
    <w:p w:rsidR="00F047CB" w:rsidRDefault="00F047CB" w:rsidP="00347A23">
      <w:pPr>
        <w:pStyle w:val="Voetnoottekst"/>
      </w:pPr>
      <w:r>
        <w:rPr>
          <w:rStyle w:val="Voetnootmarkering"/>
        </w:rPr>
        <w:footnoteRef/>
      </w:r>
      <w:r>
        <w:t xml:space="preserve"> </w:t>
      </w:r>
      <w:r w:rsidRPr="00D912AE">
        <w:t xml:space="preserve">Omdat de criteria op basis waarvan wordt vastgesteld dat iemand een </w:t>
      </w:r>
      <w:proofErr w:type="spellStart"/>
      <w:r w:rsidRPr="00D912AE">
        <w:t>veelpleger</w:t>
      </w:r>
      <w:proofErr w:type="spellEnd"/>
      <w:r w:rsidRPr="00D912AE">
        <w:t xml:space="preserve"> is, verschillen voor minderjarige en meerderjarige personen is er een groep 18 tot en met 23 jarigen die als jeugdige </w:t>
      </w:r>
      <w:proofErr w:type="spellStart"/>
      <w:r w:rsidRPr="00D912AE">
        <w:t>veelpleger</w:t>
      </w:r>
      <w:proofErr w:type="spellEnd"/>
      <w:r w:rsidRPr="00D912AE">
        <w:t xml:space="preserve"> te boek hebben gestaan, maar (nog) niet voldoen aan de criteria van volwassen </w:t>
      </w:r>
      <w:proofErr w:type="spellStart"/>
      <w:r w:rsidRPr="00D912AE">
        <w:t>veelpleger</w:t>
      </w:r>
      <w:proofErr w:type="spellEnd"/>
      <w:r w:rsidRPr="00D912AE">
        <w:t xml:space="preserve">. Een deel van deze zogenoemde jong volwassen </w:t>
      </w:r>
      <w:proofErr w:type="spellStart"/>
      <w:r w:rsidRPr="00D912AE">
        <w:t>meerplegers</w:t>
      </w:r>
      <w:proofErr w:type="spellEnd"/>
      <w:r w:rsidRPr="00D912AE">
        <w:t xml:space="preserve"> zal zich ontwikkelen tot (zeer actie</w:t>
      </w:r>
      <w:r>
        <w:t>ve</w:t>
      </w:r>
      <w:r w:rsidRPr="00D912AE">
        <w:t xml:space="preserve">) </w:t>
      </w:r>
      <w:proofErr w:type="spellStart"/>
      <w:r w:rsidRPr="00D912AE">
        <w:t>veelpleger</w:t>
      </w:r>
      <w:proofErr w:type="spellEnd"/>
      <w:r w:rsidRPr="00D912AE">
        <w:t xml:space="preserve"> en/of HIC pleger.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47E"/>
    <w:multiLevelType w:val="hybridMultilevel"/>
    <w:tmpl w:val="FBF812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0350C99"/>
    <w:multiLevelType w:val="hybridMultilevel"/>
    <w:tmpl w:val="696CD69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0BF3EF9"/>
    <w:multiLevelType w:val="hybridMultilevel"/>
    <w:tmpl w:val="AB06B9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2692622"/>
    <w:multiLevelType w:val="hybridMultilevel"/>
    <w:tmpl w:val="655290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5E7E1E"/>
    <w:multiLevelType w:val="hybridMultilevel"/>
    <w:tmpl w:val="4C32A5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B17EBD"/>
    <w:multiLevelType w:val="hybridMultilevel"/>
    <w:tmpl w:val="1D0826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9E8492E"/>
    <w:multiLevelType w:val="hybridMultilevel"/>
    <w:tmpl w:val="D74C03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0C734513"/>
    <w:multiLevelType w:val="hybridMultilevel"/>
    <w:tmpl w:val="539847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0D274AC7"/>
    <w:multiLevelType w:val="hybridMultilevel"/>
    <w:tmpl w:val="F70C33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0E7B4315"/>
    <w:multiLevelType w:val="hybridMultilevel"/>
    <w:tmpl w:val="5F5262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0EB30A0C"/>
    <w:multiLevelType w:val="hybridMultilevel"/>
    <w:tmpl w:val="5254E2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0F835274"/>
    <w:multiLevelType w:val="hybridMultilevel"/>
    <w:tmpl w:val="D0225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23C3497"/>
    <w:multiLevelType w:val="hybridMultilevel"/>
    <w:tmpl w:val="483EF8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2BB51ED"/>
    <w:multiLevelType w:val="hybridMultilevel"/>
    <w:tmpl w:val="516023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14ED775E"/>
    <w:multiLevelType w:val="hybridMultilevel"/>
    <w:tmpl w:val="27E01E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16265887"/>
    <w:multiLevelType w:val="hybridMultilevel"/>
    <w:tmpl w:val="10F860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196B5B3A"/>
    <w:multiLevelType w:val="hybridMultilevel"/>
    <w:tmpl w:val="F4C274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nsid w:val="1AD516BB"/>
    <w:multiLevelType w:val="hybridMultilevel"/>
    <w:tmpl w:val="629A2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1B2D354A"/>
    <w:multiLevelType w:val="hybridMultilevel"/>
    <w:tmpl w:val="28525B0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1EAF5F4A"/>
    <w:multiLevelType w:val="hybridMultilevel"/>
    <w:tmpl w:val="BB6C9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1EC23077"/>
    <w:multiLevelType w:val="hybridMultilevel"/>
    <w:tmpl w:val="FE406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1FF47CD5"/>
    <w:multiLevelType w:val="hybridMultilevel"/>
    <w:tmpl w:val="AB9ABD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21FB5890"/>
    <w:multiLevelType w:val="hybridMultilevel"/>
    <w:tmpl w:val="B0123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220A1FCC"/>
    <w:multiLevelType w:val="hybridMultilevel"/>
    <w:tmpl w:val="273462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24021293"/>
    <w:multiLevelType w:val="hybridMultilevel"/>
    <w:tmpl w:val="9852E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26FE1B70"/>
    <w:multiLevelType w:val="hybridMultilevel"/>
    <w:tmpl w:val="7FA8AF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nsid w:val="2A861303"/>
    <w:multiLevelType w:val="hybridMultilevel"/>
    <w:tmpl w:val="11147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2B9C41B9"/>
    <w:multiLevelType w:val="hybridMultilevel"/>
    <w:tmpl w:val="0BA639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2F660628"/>
    <w:multiLevelType w:val="hybridMultilevel"/>
    <w:tmpl w:val="9F785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30087125"/>
    <w:multiLevelType w:val="hybridMultilevel"/>
    <w:tmpl w:val="F11A03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nsid w:val="31E60286"/>
    <w:multiLevelType w:val="hybridMultilevel"/>
    <w:tmpl w:val="F70C31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3224474A"/>
    <w:multiLevelType w:val="hybridMultilevel"/>
    <w:tmpl w:val="542458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34CF2323"/>
    <w:multiLevelType w:val="hybridMultilevel"/>
    <w:tmpl w:val="44EA17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367606E2"/>
    <w:multiLevelType w:val="hybridMultilevel"/>
    <w:tmpl w:val="8862B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nsid w:val="37660A49"/>
    <w:multiLevelType w:val="hybridMultilevel"/>
    <w:tmpl w:val="87B827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3C764AC9"/>
    <w:multiLevelType w:val="hybridMultilevel"/>
    <w:tmpl w:val="98E4E1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3CA2557E"/>
    <w:multiLevelType w:val="hybridMultilevel"/>
    <w:tmpl w:val="2FBA5B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nsid w:val="3DDF50F6"/>
    <w:multiLevelType w:val="hybridMultilevel"/>
    <w:tmpl w:val="B972BCC4"/>
    <w:lvl w:ilvl="0" w:tplc="04130001">
      <w:start w:val="1"/>
      <w:numFmt w:val="bullet"/>
      <w:lvlText w:val=""/>
      <w:lvlJc w:val="left"/>
      <w:pPr>
        <w:ind w:left="720" w:hanging="360"/>
      </w:pPr>
      <w:rPr>
        <w:rFonts w:ascii="Symbol" w:hAnsi="Symbol" w:hint="default"/>
      </w:rPr>
    </w:lvl>
    <w:lvl w:ilvl="1" w:tplc="42B0E04C">
      <w:numFmt w:val="bullet"/>
      <w:lvlText w:val="•"/>
      <w:lvlJc w:val="left"/>
      <w:pPr>
        <w:ind w:left="1785" w:hanging="705"/>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40A7018F"/>
    <w:multiLevelType w:val="hybridMultilevel"/>
    <w:tmpl w:val="CB26099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nsid w:val="4A641818"/>
    <w:multiLevelType w:val="hybridMultilevel"/>
    <w:tmpl w:val="1A14CC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85"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nsid w:val="4B6F30CD"/>
    <w:multiLevelType w:val="hybridMultilevel"/>
    <w:tmpl w:val="748ED1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4D700C3F"/>
    <w:multiLevelType w:val="hybridMultilevel"/>
    <w:tmpl w:val="139C89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nsid w:val="4DBD0818"/>
    <w:multiLevelType w:val="hybridMultilevel"/>
    <w:tmpl w:val="8684F1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nsid w:val="503A0180"/>
    <w:multiLevelType w:val="hybridMultilevel"/>
    <w:tmpl w:val="949241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1BE39D0"/>
    <w:multiLevelType w:val="hybridMultilevel"/>
    <w:tmpl w:val="F78650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nsid w:val="5233340A"/>
    <w:multiLevelType w:val="hybridMultilevel"/>
    <w:tmpl w:val="5C48AAA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46">
    <w:nsid w:val="52943DEA"/>
    <w:multiLevelType w:val="multilevel"/>
    <w:tmpl w:val="A47CAF6E"/>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52DD29D3"/>
    <w:multiLevelType w:val="hybridMultilevel"/>
    <w:tmpl w:val="701EA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nsid w:val="554E5DD8"/>
    <w:multiLevelType w:val="multilevel"/>
    <w:tmpl w:val="A47CAF6E"/>
    <w:lvl w:ilvl="0">
      <w:start w:val="1"/>
      <w:numFmt w:val="decimal"/>
      <w:lvlText w:val="%1."/>
      <w:lvlJc w:val="left"/>
      <w:pPr>
        <w:ind w:left="720" w:hanging="360"/>
      </w:pPr>
    </w:lvl>
    <w:lvl w:ilvl="1">
      <w:start w:val="1"/>
      <w:numFmt w:val="decimal"/>
      <w:isLgl/>
      <w:lvlText w:val="%1.%2"/>
      <w:lvlJc w:val="left"/>
      <w:pPr>
        <w:ind w:left="1080" w:hanging="720"/>
      </w:pPr>
      <w:rPr>
        <w:rFonts w:asciiTheme="minorHAnsi" w:hAnsiTheme="minorHAnsi"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nsid w:val="59461B33"/>
    <w:multiLevelType w:val="multilevel"/>
    <w:tmpl w:val="6970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99611C2"/>
    <w:multiLevelType w:val="hybridMultilevel"/>
    <w:tmpl w:val="A9F6BD7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nsid w:val="59F54DD4"/>
    <w:multiLevelType w:val="hybridMultilevel"/>
    <w:tmpl w:val="EC24D0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5F133095"/>
    <w:multiLevelType w:val="hybridMultilevel"/>
    <w:tmpl w:val="F0D00C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nsid w:val="5F9A72FA"/>
    <w:multiLevelType w:val="hybridMultilevel"/>
    <w:tmpl w:val="06D69C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nsid w:val="613B616B"/>
    <w:multiLevelType w:val="hybridMultilevel"/>
    <w:tmpl w:val="3A2C1A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nsid w:val="62BE6AC9"/>
    <w:multiLevelType w:val="hybridMultilevel"/>
    <w:tmpl w:val="E9BEB504"/>
    <w:lvl w:ilvl="0" w:tplc="04130001">
      <w:start w:val="1"/>
      <w:numFmt w:val="bullet"/>
      <w:lvlText w:val=""/>
      <w:lvlJc w:val="left"/>
      <w:pPr>
        <w:ind w:left="1141" w:hanging="360"/>
      </w:pPr>
      <w:rPr>
        <w:rFonts w:ascii="Symbol" w:hAnsi="Symbol" w:hint="default"/>
      </w:rPr>
    </w:lvl>
    <w:lvl w:ilvl="1" w:tplc="04130003" w:tentative="1">
      <w:start w:val="1"/>
      <w:numFmt w:val="bullet"/>
      <w:lvlText w:val="o"/>
      <w:lvlJc w:val="left"/>
      <w:pPr>
        <w:ind w:left="1861" w:hanging="360"/>
      </w:pPr>
      <w:rPr>
        <w:rFonts w:ascii="Courier New" w:hAnsi="Courier New" w:cs="Courier New" w:hint="default"/>
      </w:rPr>
    </w:lvl>
    <w:lvl w:ilvl="2" w:tplc="04130005" w:tentative="1">
      <w:start w:val="1"/>
      <w:numFmt w:val="bullet"/>
      <w:lvlText w:val=""/>
      <w:lvlJc w:val="left"/>
      <w:pPr>
        <w:ind w:left="2581" w:hanging="360"/>
      </w:pPr>
      <w:rPr>
        <w:rFonts w:ascii="Wingdings" w:hAnsi="Wingdings" w:hint="default"/>
      </w:rPr>
    </w:lvl>
    <w:lvl w:ilvl="3" w:tplc="04130001" w:tentative="1">
      <w:start w:val="1"/>
      <w:numFmt w:val="bullet"/>
      <w:lvlText w:val=""/>
      <w:lvlJc w:val="left"/>
      <w:pPr>
        <w:ind w:left="3301" w:hanging="360"/>
      </w:pPr>
      <w:rPr>
        <w:rFonts w:ascii="Symbol" w:hAnsi="Symbol" w:hint="default"/>
      </w:rPr>
    </w:lvl>
    <w:lvl w:ilvl="4" w:tplc="04130003" w:tentative="1">
      <w:start w:val="1"/>
      <w:numFmt w:val="bullet"/>
      <w:lvlText w:val="o"/>
      <w:lvlJc w:val="left"/>
      <w:pPr>
        <w:ind w:left="4021" w:hanging="360"/>
      </w:pPr>
      <w:rPr>
        <w:rFonts w:ascii="Courier New" w:hAnsi="Courier New" w:cs="Courier New" w:hint="default"/>
      </w:rPr>
    </w:lvl>
    <w:lvl w:ilvl="5" w:tplc="04130005" w:tentative="1">
      <w:start w:val="1"/>
      <w:numFmt w:val="bullet"/>
      <w:lvlText w:val=""/>
      <w:lvlJc w:val="left"/>
      <w:pPr>
        <w:ind w:left="4741" w:hanging="360"/>
      </w:pPr>
      <w:rPr>
        <w:rFonts w:ascii="Wingdings" w:hAnsi="Wingdings" w:hint="default"/>
      </w:rPr>
    </w:lvl>
    <w:lvl w:ilvl="6" w:tplc="04130001" w:tentative="1">
      <w:start w:val="1"/>
      <w:numFmt w:val="bullet"/>
      <w:lvlText w:val=""/>
      <w:lvlJc w:val="left"/>
      <w:pPr>
        <w:ind w:left="5461" w:hanging="360"/>
      </w:pPr>
      <w:rPr>
        <w:rFonts w:ascii="Symbol" w:hAnsi="Symbol" w:hint="default"/>
      </w:rPr>
    </w:lvl>
    <w:lvl w:ilvl="7" w:tplc="04130003" w:tentative="1">
      <w:start w:val="1"/>
      <w:numFmt w:val="bullet"/>
      <w:lvlText w:val="o"/>
      <w:lvlJc w:val="left"/>
      <w:pPr>
        <w:ind w:left="6181" w:hanging="360"/>
      </w:pPr>
      <w:rPr>
        <w:rFonts w:ascii="Courier New" w:hAnsi="Courier New" w:cs="Courier New" w:hint="default"/>
      </w:rPr>
    </w:lvl>
    <w:lvl w:ilvl="8" w:tplc="04130005" w:tentative="1">
      <w:start w:val="1"/>
      <w:numFmt w:val="bullet"/>
      <w:lvlText w:val=""/>
      <w:lvlJc w:val="left"/>
      <w:pPr>
        <w:ind w:left="6901" w:hanging="360"/>
      </w:pPr>
      <w:rPr>
        <w:rFonts w:ascii="Wingdings" w:hAnsi="Wingdings" w:hint="default"/>
      </w:rPr>
    </w:lvl>
  </w:abstractNum>
  <w:abstractNum w:abstractNumId="56">
    <w:nsid w:val="63DA6EC7"/>
    <w:multiLevelType w:val="hybridMultilevel"/>
    <w:tmpl w:val="1E62FD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nsid w:val="649318B0"/>
    <w:multiLevelType w:val="hybridMultilevel"/>
    <w:tmpl w:val="8F1EDC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nsid w:val="67447ABF"/>
    <w:multiLevelType w:val="hybridMultilevel"/>
    <w:tmpl w:val="DE9211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9">
    <w:nsid w:val="6A4A77B9"/>
    <w:multiLevelType w:val="hybridMultilevel"/>
    <w:tmpl w:val="6A549A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nsid w:val="6C3D3CD5"/>
    <w:multiLevelType w:val="hybridMultilevel"/>
    <w:tmpl w:val="ED2083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6C524C93"/>
    <w:multiLevelType w:val="hybridMultilevel"/>
    <w:tmpl w:val="EDF8F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0694977"/>
    <w:multiLevelType w:val="hybridMultilevel"/>
    <w:tmpl w:val="E3FCCB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nsid w:val="70E436C0"/>
    <w:multiLevelType w:val="hybridMultilevel"/>
    <w:tmpl w:val="367A2E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21D0D09"/>
    <w:multiLevelType w:val="hybridMultilevel"/>
    <w:tmpl w:val="752E0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223008F"/>
    <w:multiLevelType w:val="hybridMultilevel"/>
    <w:tmpl w:val="5970A7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6">
    <w:nsid w:val="7891254F"/>
    <w:multiLevelType w:val="hybridMultilevel"/>
    <w:tmpl w:val="1E340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nsid w:val="7A3D4699"/>
    <w:multiLevelType w:val="hybridMultilevel"/>
    <w:tmpl w:val="52B69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nsid w:val="7BDF6F94"/>
    <w:multiLevelType w:val="hybridMultilevel"/>
    <w:tmpl w:val="BDC0E3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nsid w:val="7F472AEB"/>
    <w:multiLevelType w:val="hybridMultilevel"/>
    <w:tmpl w:val="662AE8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0">
    <w:nsid w:val="7F6E060C"/>
    <w:multiLevelType w:val="hybridMultilevel"/>
    <w:tmpl w:val="3EDE3A8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nsid w:val="7FD734C6"/>
    <w:multiLevelType w:val="hybridMultilevel"/>
    <w:tmpl w:val="906E72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6"/>
  </w:num>
  <w:num w:numId="2">
    <w:abstractNumId w:val="55"/>
  </w:num>
  <w:num w:numId="3">
    <w:abstractNumId w:val="4"/>
  </w:num>
  <w:num w:numId="4">
    <w:abstractNumId w:val="33"/>
  </w:num>
  <w:num w:numId="5">
    <w:abstractNumId w:val="36"/>
  </w:num>
  <w:num w:numId="6">
    <w:abstractNumId w:val="69"/>
  </w:num>
  <w:num w:numId="7">
    <w:abstractNumId w:val="7"/>
  </w:num>
  <w:num w:numId="8">
    <w:abstractNumId w:val="45"/>
  </w:num>
  <w:num w:numId="9">
    <w:abstractNumId w:val="24"/>
  </w:num>
  <w:num w:numId="10">
    <w:abstractNumId w:val="39"/>
  </w:num>
  <w:num w:numId="11">
    <w:abstractNumId w:val="44"/>
  </w:num>
  <w:num w:numId="12">
    <w:abstractNumId w:val="30"/>
  </w:num>
  <w:num w:numId="13">
    <w:abstractNumId w:val="9"/>
  </w:num>
  <w:num w:numId="14">
    <w:abstractNumId w:val="16"/>
  </w:num>
  <w:num w:numId="15">
    <w:abstractNumId w:val="58"/>
  </w:num>
  <w:num w:numId="16">
    <w:abstractNumId w:val="50"/>
  </w:num>
  <w:num w:numId="17">
    <w:abstractNumId w:val="42"/>
  </w:num>
  <w:num w:numId="18">
    <w:abstractNumId w:val="38"/>
  </w:num>
  <w:num w:numId="19">
    <w:abstractNumId w:val="11"/>
  </w:num>
  <w:num w:numId="20">
    <w:abstractNumId w:val="5"/>
  </w:num>
  <w:num w:numId="21">
    <w:abstractNumId w:val="25"/>
  </w:num>
  <w:num w:numId="22">
    <w:abstractNumId w:val="13"/>
  </w:num>
  <w:num w:numId="23">
    <w:abstractNumId w:val="68"/>
  </w:num>
  <w:num w:numId="24">
    <w:abstractNumId w:val="19"/>
  </w:num>
  <w:num w:numId="25">
    <w:abstractNumId w:val="37"/>
  </w:num>
  <w:num w:numId="26">
    <w:abstractNumId w:val="20"/>
  </w:num>
  <w:num w:numId="27">
    <w:abstractNumId w:val="56"/>
  </w:num>
  <w:num w:numId="28">
    <w:abstractNumId w:val="6"/>
  </w:num>
  <w:num w:numId="29">
    <w:abstractNumId w:val="1"/>
  </w:num>
  <w:num w:numId="30">
    <w:abstractNumId w:val="53"/>
  </w:num>
  <w:num w:numId="31">
    <w:abstractNumId w:val="40"/>
  </w:num>
  <w:num w:numId="32">
    <w:abstractNumId w:val="10"/>
  </w:num>
  <w:num w:numId="33">
    <w:abstractNumId w:val="34"/>
  </w:num>
  <w:num w:numId="34">
    <w:abstractNumId w:val="29"/>
  </w:num>
  <w:num w:numId="35">
    <w:abstractNumId w:val="59"/>
  </w:num>
  <w:num w:numId="36">
    <w:abstractNumId w:val="27"/>
  </w:num>
  <w:num w:numId="37">
    <w:abstractNumId w:val="49"/>
  </w:num>
  <w:num w:numId="38">
    <w:abstractNumId w:val="63"/>
  </w:num>
  <w:num w:numId="39">
    <w:abstractNumId w:val="66"/>
  </w:num>
  <w:num w:numId="40">
    <w:abstractNumId w:val="12"/>
  </w:num>
  <w:num w:numId="41">
    <w:abstractNumId w:val="62"/>
  </w:num>
  <w:num w:numId="42">
    <w:abstractNumId w:val="8"/>
  </w:num>
  <w:num w:numId="43">
    <w:abstractNumId w:val="57"/>
  </w:num>
  <w:num w:numId="44">
    <w:abstractNumId w:val="60"/>
  </w:num>
  <w:num w:numId="45">
    <w:abstractNumId w:val="22"/>
  </w:num>
  <w:num w:numId="46">
    <w:abstractNumId w:val="51"/>
  </w:num>
  <w:num w:numId="47">
    <w:abstractNumId w:val="70"/>
  </w:num>
  <w:num w:numId="48">
    <w:abstractNumId w:val="14"/>
  </w:num>
  <w:num w:numId="49">
    <w:abstractNumId w:val="52"/>
  </w:num>
  <w:num w:numId="50">
    <w:abstractNumId w:val="0"/>
  </w:num>
  <w:num w:numId="51">
    <w:abstractNumId w:val="54"/>
  </w:num>
  <w:num w:numId="52">
    <w:abstractNumId w:val="32"/>
  </w:num>
  <w:num w:numId="53">
    <w:abstractNumId w:val="2"/>
  </w:num>
  <w:num w:numId="54">
    <w:abstractNumId w:val="31"/>
  </w:num>
  <w:num w:numId="55">
    <w:abstractNumId w:val="17"/>
  </w:num>
  <w:num w:numId="56">
    <w:abstractNumId w:val="21"/>
  </w:num>
  <w:num w:numId="57">
    <w:abstractNumId w:val="28"/>
  </w:num>
  <w:num w:numId="58">
    <w:abstractNumId w:val="61"/>
  </w:num>
  <w:num w:numId="59">
    <w:abstractNumId w:val="48"/>
  </w:num>
  <w:num w:numId="60">
    <w:abstractNumId w:val="65"/>
  </w:num>
  <w:num w:numId="61">
    <w:abstractNumId w:val="43"/>
  </w:num>
  <w:num w:numId="62">
    <w:abstractNumId w:val="26"/>
  </w:num>
  <w:num w:numId="63">
    <w:abstractNumId w:val="15"/>
  </w:num>
  <w:num w:numId="64">
    <w:abstractNumId w:val="23"/>
  </w:num>
  <w:num w:numId="65">
    <w:abstractNumId w:val="18"/>
  </w:num>
  <w:num w:numId="66">
    <w:abstractNumId w:val="67"/>
  </w:num>
  <w:num w:numId="67">
    <w:abstractNumId w:val="3"/>
  </w:num>
  <w:num w:numId="68">
    <w:abstractNumId w:val="47"/>
  </w:num>
  <w:num w:numId="69">
    <w:abstractNumId w:val="35"/>
  </w:num>
  <w:num w:numId="70">
    <w:abstractNumId w:val="71"/>
  </w:num>
  <w:num w:numId="71">
    <w:abstractNumId w:val="64"/>
  </w:num>
  <w:num w:numId="7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87D"/>
    <w:rsid w:val="00001673"/>
    <w:rsid w:val="000038F6"/>
    <w:rsid w:val="00003EB2"/>
    <w:rsid w:val="00004413"/>
    <w:rsid w:val="00004838"/>
    <w:rsid w:val="00005A5A"/>
    <w:rsid w:val="00007BBE"/>
    <w:rsid w:val="00010882"/>
    <w:rsid w:val="00012016"/>
    <w:rsid w:val="00012179"/>
    <w:rsid w:val="00012F15"/>
    <w:rsid w:val="0001676D"/>
    <w:rsid w:val="00020B26"/>
    <w:rsid w:val="00022CD9"/>
    <w:rsid w:val="000242F1"/>
    <w:rsid w:val="00030944"/>
    <w:rsid w:val="00031F5E"/>
    <w:rsid w:val="000322FA"/>
    <w:rsid w:val="0003384A"/>
    <w:rsid w:val="0003458F"/>
    <w:rsid w:val="00035204"/>
    <w:rsid w:val="00037A70"/>
    <w:rsid w:val="00041950"/>
    <w:rsid w:val="00041A37"/>
    <w:rsid w:val="000428A8"/>
    <w:rsid w:val="000432BB"/>
    <w:rsid w:val="00046A34"/>
    <w:rsid w:val="00050B07"/>
    <w:rsid w:val="0005156D"/>
    <w:rsid w:val="00056E50"/>
    <w:rsid w:val="00056EF4"/>
    <w:rsid w:val="00057E11"/>
    <w:rsid w:val="000632B9"/>
    <w:rsid w:val="00063C13"/>
    <w:rsid w:val="00065323"/>
    <w:rsid w:val="00067229"/>
    <w:rsid w:val="00074CC1"/>
    <w:rsid w:val="0007598C"/>
    <w:rsid w:val="00076539"/>
    <w:rsid w:val="000813EE"/>
    <w:rsid w:val="0008191D"/>
    <w:rsid w:val="00081C27"/>
    <w:rsid w:val="0009387D"/>
    <w:rsid w:val="00094676"/>
    <w:rsid w:val="0009522D"/>
    <w:rsid w:val="000964AB"/>
    <w:rsid w:val="000A6C26"/>
    <w:rsid w:val="000B0A0D"/>
    <w:rsid w:val="000B3905"/>
    <w:rsid w:val="000B64E0"/>
    <w:rsid w:val="000C2C71"/>
    <w:rsid w:val="000C5E74"/>
    <w:rsid w:val="000C7E26"/>
    <w:rsid w:val="000D23AF"/>
    <w:rsid w:val="000D35D3"/>
    <w:rsid w:val="000D4BBD"/>
    <w:rsid w:val="000D4C6F"/>
    <w:rsid w:val="000D585A"/>
    <w:rsid w:val="000D5ABC"/>
    <w:rsid w:val="000E32AD"/>
    <w:rsid w:val="000E45C0"/>
    <w:rsid w:val="000E4A18"/>
    <w:rsid w:val="000E5699"/>
    <w:rsid w:val="000E6293"/>
    <w:rsid w:val="000F11AF"/>
    <w:rsid w:val="000F1E45"/>
    <w:rsid w:val="000F31B7"/>
    <w:rsid w:val="000F3C75"/>
    <w:rsid w:val="00102722"/>
    <w:rsid w:val="00102901"/>
    <w:rsid w:val="00106DD7"/>
    <w:rsid w:val="00111045"/>
    <w:rsid w:val="00121B43"/>
    <w:rsid w:val="00125A58"/>
    <w:rsid w:val="00125C2A"/>
    <w:rsid w:val="00127F7B"/>
    <w:rsid w:val="001302E1"/>
    <w:rsid w:val="00134E58"/>
    <w:rsid w:val="00136047"/>
    <w:rsid w:val="00136B5A"/>
    <w:rsid w:val="00137EFA"/>
    <w:rsid w:val="001426D7"/>
    <w:rsid w:val="001430B9"/>
    <w:rsid w:val="001434D1"/>
    <w:rsid w:val="00144BC8"/>
    <w:rsid w:val="00146032"/>
    <w:rsid w:val="0014613F"/>
    <w:rsid w:val="00151CCA"/>
    <w:rsid w:val="001542D0"/>
    <w:rsid w:val="00156AB0"/>
    <w:rsid w:val="0015711B"/>
    <w:rsid w:val="00161431"/>
    <w:rsid w:val="00161848"/>
    <w:rsid w:val="00161EA7"/>
    <w:rsid w:val="0016315E"/>
    <w:rsid w:val="001704F2"/>
    <w:rsid w:val="001736EA"/>
    <w:rsid w:val="0017737D"/>
    <w:rsid w:val="0017766F"/>
    <w:rsid w:val="00177CCB"/>
    <w:rsid w:val="0018049B"/>
    <w:rsid w:val="001814A6"/>
    <w:rsid w:val="00182751"/>
    <w:rsid w:val="00182822"/>
    <w:rsid w:val="001900EF"/>
    <w:rsid w:val="00190A51"/>
    <w:rsid w:val="00193C64"/>
    <w:rsid w:val="00194494"/>
    <w:rsid w:val="00194E68"/>
    <w:rsid w:val="001A0626"/>
    <w:rsid w:val="001A2C07"/>
    <w:rsid w:val="001A4A9B"/>
    <w:rsid w:val="001A5509"/>
    <w:rsid w:val="001A5F9A"/>
    <w:rsid w:val="001A753C"/>
    <w:rsid w:val="001B3613"/>
    <w:rsid w:val="001B4283"/>
    <w:rsid w:val="001B5A5B"/>
    <w:rsid w:val="001B6653"/>
    <w:rsid w:val="001B699E"/>
    <w:rsid w:val="001B6B60"/>
    <w:rsid w:val="001C4296"/>
    <w:rsid w:val="001C5AB8"/>
    <w:rsid w:val="001D3BC4"/>
    <w:rsid w:val="001D4D23"/>
    <w:rsid w:val="001E0AF4"/>
    <w:rsid w:val="001E4CCF"/>
    <w:rsid w:val="001F5968"/>
    <w:rsid w:val="001F611C"/>
    <w:rsid w:val="001F6318"/>
    <w:rsid w:val="001F70D3"/>
    <w:rsid w:val="002001D1"/>
    <w:rsid w:val="00201099"/>
    <w:rsid w:val="00201631"/>
    <w:rsid w:val="00204604"/>
    <w:rsid w:val="002121A2"/>
    <w:rsid w:val="002149AE"/>
    <w:rsid w:val="002240B4"/>
    <w:rsid w:val="00230DEC"/>
    <w:rsid w:val="002329D8"/>
    <w:rsid w:val="00233228"/>
    <w:rsid w:val="00233BC2"/>
    <w:rsid w:val="00236FA3"/>
    <w:rsid w:val="00237073"/>
    <w:rsid w:val="00237152"/>
    <w:rsid w:val="0024185C"/>
    <w:rsid w:val="00243680"/>
    <w:rsid w:val="002500A4"/>
    <w:rsid w:val="00251962"/>
    <w:rsid w:val="00251B57"/>
    <w:rsid w:val="00254102"/>
    <w:rsid w:val="00255EB4"/>
    <w:rsid w:val="00256CF3"/>
    <w:rsid w:val="0025716F"/>
    <w:rsid w:val="002601D5"/>
    <w:rsid w:val="00260A2A"/>
    <w:rsid w:val="00262161"/>
    <w:rsid w:val="00264512"/>
    <w:rsid w:val="00264643"/>
    <w:rsid w:val="00264F66"/>
    <w:rsid w:val="00266B29"/>
    <w:rsid w:val="00270C0A"/>
    <w:rsid w:val="00272FF9"/>
    <w:rsid w:val="0027378C"/>
    <w:rsid w:val="00282673"/>
    <w:rsid w:val="00282870"/>
    <w:rsid w:val="00282AAA"/>
    <w:rsid w:val="00283F67"/>
    <w:rsid w:val="002870BF"/>
    <w:rsid w:val="00287AC7"/>
    <w:rsid w:val="002937D2"/>
    <w:rsid w:val="002963F3"/>
    <w:rsid w:val="00296542"/>
    <w:rsid w:val="002A1892"/>
    <w:rsid w:val="002A2E6A"/>
    <w:rsid w:val="002A42A1"/>
    <w:rsid w:val="002A6608"/>
    <w:rsid w:val="002A6B5A"/>
    <w:rsid w:val="002B42CD"/>
    <w:rsid w:val="002B45FD"/>
    <w:rsid w:val="002B4CEA"/>
    <w:rsid w:val="002C3025"/>
    <w:rsid w:val="002C6265"/>
    <w:rsid w:val="002C67CE"/>
    <w:rsid w:val="002C7867"/>
    <w:rsid w:val="002C7C2A"/>
    <w:rsid w:val="002C7E92"/>
    <w:rsid w:val="002D08C4"/>
    <w:rsid w:val="002D37F6"/>
    <w:rsid w:val="002D6882"/>
    <w:rsid w:val="002D6B5D"/>
    <w:rsid w:val="002E4357"/>
    <w:rsid w:val="002E4DD3"/>
    <w:rsid w:val="002E5BDD"/>
    <w:rsid w:val="002E6460"/>
    <w:rsid w:val="002F3A37"/>
    <w:rsid w:val="002F5EBF"/>
    <w:rsid w:val="002F6320"/>
    <w:rsid w:val="002F63ED"/>
    <w:rsid w:val="002F678A"/>
    <w:rsid w:val="00301149"/>
    <w:rsid w:val="00303095"/>
    <w:rsid w:val="00303199"/>
    <w:rsid w:val="00303FB6"/>
    <w:rsid w:val="00305C10"/>
    <w:rsid w:val="0031170B"/>
    <w:rsid w:val="00312EB3"/>
    <w:rsid w:val="00313F1F"/>
    <w:rsid w:val="00316E9A"/>
    <w:rsid w:val="00322BFF"/>
    <w:rsid w:val="00326AC1"/>
    <w:rsid w:val="00330436"/>
    <w:rsid w:val="0033324F"/>
    <w:rsid w:val="00335114"/>
    <w:rsid w:val="00343E63"/>
    <w:rsid w:val="00344C22"/>
    <w:rsid w:val="00347A23"/>
    <w:rsid w:val="00350292"/>
    <w:rsid w:val="00350599"/>
    <w:rsid w:val="003512FA"/>
    <w:rsid w:val="003518C3"/>
    <w:rsid w:val="003542F3"/>
    <w:rsid w:val="003579E2"/>
    <w:rsid w:val="00360AF7"/>
    <w:rsid w:val="00364A50"/>
    <w:rsid w:val="00374B3A"/>
    <w:rsid w:val="00375D8B"/>
    <w:rsid w:val="00377026"/>
    <w:rsid w:val="00381D82"/>
    <w:rsid w:val="00383B86"/>
    <w:rsid w:val="00384579"/>
    <w:rsid w:val="00384B9E"/>
    <w:rsid w:val="00385BFA"/>
    <w:rsid w:val="00392F28"/>
    <w:rsid w:val="003935A0"/>
    <w:rsid w:val="00393F98"/>
    <w:rsid w:val="00395B50"/>
    <w:rsid w:val="00396394"/>
    <w:rsid w:val="003A5EB1"/>
    <w:rsid w:val="003A68E2"/>
    <w:rsid w:val="003A7E49"/>
    <w:rsid w:val="003B027B"/>
    <w:rsid w:val="003B14FD"/>
    <w:rsid w:val="003B1F53"/>
    <w:rsid w:val="003B260B"/>
    <w:rsid w:val="003B333B"/>
    <w:rsid w:val="003B59CB"/>
    <w:rsid w:val="003C1520"/>
    <w:rsid w:val="003C3D79"/>
    <w:rsid w:val="003C4AB3"/>
    <w:rsid w:val="003C5140"/>
    <w:rsid w:val="003C7BD3"/>
    <w:rsid w:val="003D15B9"/>
    <w:rsid w:val="003D1862"/>
    <w:rsid w:val="003E11EA"/>
    <w:rsid w:val="003E1D2E"/>
    <w:rsid w:val="003E254B"/>
    <w:rsid w:val="003E6F46"/>
    <w:rsid w:val="003F1CF8"/>
    <w:rsid w:val="003F33EF"/>
    <w:rsid w:val="003F36B0"/>
    <w:rsid w:val="003F3E71"/>
    <w:rsid w:val="003F4CAC"/>
    <w:rsid w:val="003F6460"/>
    <w:rsid w:val="003F785B"/>
    <w:rsid w:val="004010FF"/>
    <w:rsid w:val="00401A87"/>
    <w:rsid w:val="00403148"/>
    <w:rsid w:val="00403B0E"/>
    <w:rsid w:val="00403EEC"/>
    <w:rsid w:val="00404F01"/>
    <w:rsid w:val="004054A9"/>
    <w:rsid w:val="00407013"/>
    <w:rsid w:val="004076C2"/>
    <w:rsid w:val="00407753"/>
    <w:rsid w:val="0041157D"/>
    <w:rsid w:val="004115E3"/>
    <w:rsid w:val="00411ED9"/>
    <w:rsid w:val="00412051"/>
    <w:rsid w:val="004152CE"/>
    <w:rsid w:val="004154DF"/>
    <w:rsid w:val="00415A33"/>
    <w:rsid w:val="00417B03"/>
    <w:rsid w:val="00422903"/>
    <w:rsid w:val="00422DA7"/>
    <w:rsid w:val="0042478B"/>
    <w:rsid w:val="00426289"/>
    <w:rsid w:val="00426EE3"/>
    <w:rsid w:val="00430AA2"/>
    <w:rsid w:val="004321CA"/>
    <w:rsid w:val="00432CB4"/>
    <w:rsid w:val="00432F85"/>
    <w:rsid w:val="00433839"/>
    <w:rsid w:val="00434761"/>
    <w:rsid w:val="004355A5"/>
    <w:rsid w:val="00436C40"/>
    <w:rsid w:val="0044075B"/>
    <w:rsid w:val="0044088B"/>
    <w:rsid w:val="00441684"/>
    <w:rsid w:val="004429DF"/>
    <w:rsid w:val="00445387"/>
    <w:rsid w:val="00445E29"/>
    <w:rsid w:val="004466D3"/>
    <w:rsid w:val="0044738A"/>
    <w:rsid w:val="00450479"/>
    <w:rsid w:val="00453410"/>
    <w:rsid w:val="004552F9"/>
    <w:rsid w:val="00464E86"/>
    <w:rsid w:val="00467434"/>
    <w:rsid w:val="0047120F"/>
    <w:rsid w:val="004754C9"/>
    <w:rsid w:val="004754FB"/>
    <w:rsid w:val="0047714E"/>
    <w:rsid w:val="00480585"/>
    <w:rsid w:val="00481182"/>
    <w:rsid w:val="00482402"/>
    <w:rsid w:val="0048602B"/>
    <w:rsid w:val="00486B4A"/>
    <w:rsid w:val="004945DD"/>
    <w:rsid w:val="0049468C"/>
    <w:rsid w:val="00496643"/>
    <w:rsid w:val="0049675D"/>
    <w:rsid w:val="00497C30"/>
    <w:rsid w:val="004A2361"/>
    <w:rsid w:val="004A236D"/>
    <w:rsid w:val="004A2793"/>
    <w:rsid w:val="004A6E34"/>
    <w:rsid w:val="004A70FD"/>
    <w:rsid w:val="004A7551"/>
    <w:rsid w:val="004B0AC9"/>
    <w:rsid w:val="004B1139"/>
    <w:rsid w:val="004B22C4"/>
    <w:rsid w:val="004B2B8E"/>
    <w:rsid w:val="004B585D"/>
    <w:rsid w:val="004B5D8E"/>
    <w:rsid w:val="004B6CD9"/>
    <w:rsid w:val="004C3365"/>
    <w:rsid w:val="004C35FB"/>
    <w:rsid w:val="004C4ACC"/>
    <w:rsid w:val="004D099C"/>
    <w:rsid w:val="004D2961"/>
    <w:rsid w:val="004D5831"/>
    <w:rsid w:val="004D5EE9"/>
    <w:rsid w:val="004D6A91"/>
    <w:rsid w:val="004E035A"/>
    <w:rsid w:val="004E4B11"/>
    <w:rsid w:val="004E5AB1"/>
    <w:rsid w:val="004F0A2E"/>
    <w:rsid w:val="004F5204"/>
    <w:rsid w:val="004F6316"/>
    <w:rsid w:val="004F72D9"/>
    <w:rsid w:val="004F76CD"/>
    <w:rsid w:val="00500AB8"/>
    <w:rsid w:val="005031C9"/>
    <w:rsid w:val="00503EA3"/>
    <w:rsid w:val="00505D92"/>
    <w:rsid w:val="00512092"/>
    <w:rsid w:val="00512C55"/>
    <w:rsid w:val="005147EC"/>
    <w:rsid w:val="00516BBA"/>
    <w:rsid w:val="0051773C"/>
    <w:rsid w:val="00522C16"/>
    <w:rsid w:val="00527395"/>
    <w:rsid w:val="005277F3"/>
    <w:rsid w:val="00527F6D"/>
    <w:rsid w:val="0053555F"/>
    <w:rsid w:val="0053719E"/>
    <w:rsid w:val="00543291"/>
    <w:rsid w:val="00546C4B"/>
    <w:rsid w:val="00553058"/>
    <w:rsid w:val="00553D1C"/>
    <w:rsid w:val="00554742"/>
    <w:rsid w:val="00555038"/>
    <w:rsid w:val="005563DF"/>
    <w:rsid w:val="0055795C"/>
    <w:rsid w:val="005615F6"/>
    <w:rsid w:val="005621EC"/>
    <w:rsid w:val="005627E9"/>
    <w:rsid w:val="00571E93"/>
    <w:rsid w:val="00572B30"/>
    <w:rsid w:val="00574E7D"/>
    <w:rsid w:val="00580687"/>
    <w:rsid w:val="005841DF"/>
    <w:rsid w:val="00584235"/>
    <w:rsid w:val="00587F26"/>
    <w:rsid w:val="005905C2"/>
    <w:rsid w:val="005907C3"/>
    <w:rsid w:val="00591266"/>
    <w:rsid w:val="0059129A"/>
    <w:rsid w:val="0059373F"/>
    <w:rsid w:val="005A4B9F"/>
    <w:rsid w:val="005A66D0"/>
    <w:rsid w:val="005A6CF5"/>
    <w:rsid w:val="005B1647"/>
    <w:rsid w:val="005B5EE6"/>
    <w:rsid w:val="005B7C2C"/>
    <w:rsid w:val="005C1185"/>
    <w:rsid w:val="005C34A6"/>
    <w:rsid w:val="005C4406"/>
    <w:rsid w:val="005C6795"/>
    <w:rsid w:val="005C6AE7"/>
    <w:rsid w:val="005D4482"/>
    <w:rsid w:val="005D5853"/>
    <w:rsid w:val="005E2CE6"/>
    <w:rsid w:val="005E57E6"/>
    <w:rsid w:val="005E7A1A"/>
    <w:rsid w:val="005E7EE1"/>
    <w:rsid w:val="005F3DA4"/>
    <w:rsid w:val="005F60D0"/>
    <w:rsid w:val="005F70F1"/>
    <w:rsid w:val="005F7C80"/>
    <w:rsid w:val="006014E2"/>
    <w:rsid w:val="0060343D"/>
    <w:rsid w:val="0060480B"/>
    <w:rsid w:val="00604844"/>
    <w:rsid w:val="00604DA0"/>
    <w:rsid w:val="00613D38"/>
    <w:rsid w:val="00615BA4"/>
    <w:rsid w:val="006256B9"/>
    <w:rsid w:val="006261BE"/>
    <w:rsid w:val="00626581"/>
    <w:rsid w:val="00626F2B"/>
    <w:rsid w:val="00630A71"/>
    <w:rsid w:val="00636114"/>
    <w:rsid w:val="006362F7"/>
    <w:rsid w:val="00641C7B"/>
    <w:rsid w:val="00642184"/>
    <w:rsid w:val="00643DC6"/>
    <w:rsid w:val="0064486C"/>
    <w:rsid w:val="0065083F"/>
    <w:rsid w:val="00651774"/>
    <w:rsid w:val="006529E1"/>
    <w:rsid w:val="006556E9"/>
    <w:rsid w:val="00660CD8"/>
    <w:rsid w:val="0066400A"/>
    <w:rsid w:val="00665558"/>
    <w:rsid w:val="00666E19"/>
    <w:rsid w:val="006707C5"/>
    <w:rsid w:val="006710F3"/>
    <w:rsid w:val="006715DA"/>
    <w:rsid w:val="00674EF4"/>
    <w:rsid w:val="006755D3"/>
    <w:rsid w:val="0067573F"/>
    <w:rsid w:val="00675F82"/>
    <w:rsid w:val="00677048"/>
    <w:rsid w:val="00677DE3"/>
    <w:rsid w:val="006807B2"/>
    <w:rsid w:val="00680AE6"/>
    <w:rsid w:val="006831AC"/>
    <w:rsid w:val="00684F46"/>
    <w:rsid w:val="00686176"/>
    <w:rsid w:val="006877AD"/>
    <w:rsid w:val="0069148B"/>
    <w:rsid w:val="00691BED"/>
    <w:rsid w:val="00692275"/>
    <w:rsid w:val="006938B7"/>
    <w:rsid w:val="0069463B"/>
    <w:rsid w:val="00697EDA"/>
    <w:rsid w:val="006A015E"/>
    <w:rsid w:val="006A059D"/>
    <w:rsid w:val="006A1346"/>
    <w:rsid w:val="006A3E47"/>
    <w:rsid w:val="006A4212"/>
    <w:rsid w:val="006A5F53"/>
    <w:rsid w:val="006B3D3F"/>
    <w:rsid w:val="006B567C"/>
    <w:rsid w:val="006B6FF3"/>
    <w:rsid w:val="006C1392"/>
    <w:rsid w:val="006C35A7"/>
    <w:rsid w:val="006C4897"/>
    <w:rsid w:val="006C7059"/>
    <w:rsid w:val="006D0B40"/>
    <w:rsid w:val="006D3112"/>
    <w:rsid w:val="006D4E0B"/>
    <w:rsid w:val="006E0329"/>
    <w:rsid w:val="006E0DCE"/>
    <w:rsid w:val="006E269F"/>
    <w:rsid w:val="006E50AF"/>
    <w:rsid w:val="006E5273"/>
    <w:rsid w:val="006E5E31"/>
    <w:rsid w:val="006E782D"/>
    <w:rsid w:val="006F055D"/>
    <w:rsid w:val="006F08F0"/>
    <w:rsid w:val="006F1BDB"/>
    <w:rsid w:val="006F2255"/>
    <w:rsid w:val="006F238E"/>
    <w:rsid w:val="006F36DA"/>
    <w:rsid w:val="006F781D"/>
    <w:rsid w:val="00701E62"/>
    <w:rsid w:val="007055E0"/>
    <w:rsid w:val="007067F5"/>
    <w:rsid w:val="0071104D"/>
    <w:rsid w:val="00716637"/>
    <w:rsid w:val="00721219"/>
    <w:rsid w:val="0072317A"/>
    <w:rsid w:val="00727473"/>
    <w:rsid w:val="007277AF"/>
    <w:rsid w:val="00735637"/>
    <w:rsid w:val="00735BD8"/>
    <w:rsid w:val="00741E72"/>
    <w:rsid w:val="007436FB"/>
    <w:rsid w:val="0074519C"/>
    <w:rsid w:val="00750571"/>
    <w:rsid w:val="007534FC"/>
    <w:rsid w:val="007539FB"/>
    <w:rsid w:val="00753FD2"/>
    <w:rsid w:val="007573FD"/>
    <w:rsid w:val="00757AEA"/>
    <w:rsid w:val="00760133"/>
    <w:rsid w:val="00762033"/>
    <w:rsid w:val="0076343F"/>
    <w:rsid w:val="00763624"/>
    <w:rsid w:val="00764AF3"/>
    <w:rsid w:val="007671A1"/>
    <w:rsid w:val="00771AE2"/>
    <w:rsid w:val="00773E3F"/>
    <w:rsid w:val="00774279"/>
    <w:rsid w:val="00775E57"/>
    <w:rsid w:val="00781D5F"/>
    <w:rsid w:val="00782610"/>
    <w:rsid w:val="00783C2B"/>
    <w:rsid w:val="00784BB9"/>
    <w:rsid w:val="00784D07"/>
    <w:rsid w:val="0078597C"/>
    <w:rsid w:val="00786010"/>
    <w:rsid w:val="007871F7"/>
    <w:rsid w:val="00792191"/>
    <w:rsid w:val="007948AB"/>
    <w:rsid w:val="007955DA"/>
    <w:rsid w:val="00795F69"/>
    <w:rsid w:val="007963EA"/>
    <w:rsid w:val="007A4AD5"/>
    <w:rsid w:val="007A4B86"/>
    <w:rsid w:val="007A4E9A"/>
    <w:rsid w:val="007A5EF0"/>
    <w:rsid w:val="007B0983"/>
    <w:rsid w:val="007B1DC3"/>
    <w:rsid w:val="007B3BF0"/>
    <w:rsid w:val="007B596C"/>
    <w:rsid w:val="007B6BC9"/>
    <w:rsid w:val="007C06AD"/>
    <w:rsid w:val="007C554A"/>
    <w:rsid w:val="007C57C9"/>
    <w:rsid w:val="007C5EAC"/>
    <w:rsid w:val="007D0625"/>
    <w:rsid w:val="007D31B1"/>
    <w:rsid w:val="007D3675"/>
    <w:rsid w:val="007D6258"/>
    <w:rsid w:val="007E3F1E"/>
    <w:rsid w:val="007F1B19"/>
    <w:rsid w:val="007F38B1"/>
    <w:rsid w:val="007F549A"/>
    <w:rsid w:val="007F662B"/>
    <w:rsid w:val="007F7BFD"/>
    <w:rsid w:val="0080257E"/>
    <w:rsid w:val="00802854"/>
    <w:rsid w:val="0080394F"/>
    <w:rsid w:val="00803D40"/>
    <w:rsid w:val="00806CD2"/>
    <w:rsid w:val="00820730"/>
    <w:rsid w:val="00821C1B"/>
    <w:rsid w:val="00822DFA"/>
    <w:rsid w:val="008238BB"/>
    <w:rsid w:val="00823C31"/>
    <w:rsid w:val="008260B3"/>
    <w:rsid w:val="00826237"/>
    <w:rsid w:val="00827BCA"/>
    <w:rsid w:val="0083605B"/>
    <w:rsid w:val="00836289"/>
    <w:rsid w:val="00841F50"/>
    <w:rsid w:val="00845C5F"/>
    <w:rsid w:val="008478E2"/>
    <w:rsid w:val="0085129A"/>
    <w:rsid w:val="00856C3F"/>
    <w:rsid w:val="00860243"/>
    <w:rsid w:val="008604E6"/>
    <w:rsid w:val="008609F6"/>
    <w:rsid w:val="00860DA6"/>
    <w:rsid w:val="00870BBE"/>
    <w:rsid w:val="00871BB0"/>
    <w:rsid w:val="0088317F"/>
    <w:rsid w:val="00884BA1"/>
    <w:rsid w:val="008862CE"/>
    <w:rsid w:val="00892D0C"/>
    <w:rsid w:val="00893758"/>
    <w:rsid w:val="00895D17"/>
    <w:rsid w:val="008A30BF"/>
    <w:rsid w:val="008A33E1"/>
    <w:rsid w:val="008A5585"/>
    <w:rsid w:val="008A7FD0"/>
    <w:rsid w:val="008B1E7E"/>
    <w:rsid w:val="008B3A05"/>
    <w:rsid w:val="008C1B03"/>
    <w:rsid w:val="008C4CAF"/>
    <w:rsid w:val="008C5950"/>
    <w:rsid w:val="008C6DBD"/>
    <w:rsid w:val="008D0156"/>
    <w:rsid w:val="008D1808"/>
    <w:rsid w:val="008D1E96"/>
    <w:rsid w:val="008D24E1"/>
    <w:rsid w:val="008E0AB7"/>
    <w:rsid w:val="008E28EF"/>
    <w:rsid w:val="008E319A"/>
    <w:rsid w:val="008E33C2"/>
    <w:rsid w:val="008E5FC9"/>
    <w:rsid w:val="008F250B"/>
    <w:rsid w:val="008F4735"/>
    <w:rsid w:val="008F4EC9"/>
    <w:rsid w:val="008F5630"/>
    <w:rsid w:val="008F64A6"/>
    <w:rsid w:val="00901A41"/>
    <w:rsid w:val="00903801"/>
    <w:rsid w:val="0090483D"/>
    <w:rsid w:val="00904DA7"/>
    <w:rsid w:val="00905913"/>
    <w:rsid w:val="00906300"/>
    <w:rsid w:val="009075DD"/>
    <w:rsid w:val="009129AA"/>
    <w:rsid w:val="00921833"/>
    <w:rsid w:val="00925612"/>
    <w:rsid w:val="00930D67"/>
    <w:rsid w:val="009312EE"/>
    <w:rsid w:val="0093164C"/>
    <w:rsid w:val="00933EAE"/>
    <w:rsid w:val="00934591"/>
    <w:rsid w:val="00942C18"/>
    <w:rsid w:val="00945D73"/>
    <w:rsid w:val="00950808"/>
    <w:rsid w:val="0095133F"/>
    <w:rsid w:val="009552CB"/>
    <w:rsid w:val="009556F9"/>
    <w:rsid w:val="00955BB0"/>
    <w:rsid w:val="00963924"/>
    <w:rsid w:val="00964396"/>
    <w:rsid w:val="00970A68"/>
    <w:rsid w:val="00970C43"/>
    <w:rsid w:val="00971811"/>
    <w:rsid w:val="00971D9A"/>
    <w:rsid w:val="00972B22"/>
    <w:rsid w:val="00972CFE"/>
    <w:rsid w:val="00972F41"/>
    <w:rsid w:val="009751CA"/>
    <w:rsid w:val="009759C1"/>
    <w:rsid w:val="00977084"/>
    <w:rsid w:val="009771F0"/>
    <w:rsid w:val="00981121"/>
    <w:rsid w:val="00981E8A"/>
    <w:rsid w:val="00982F30"/>
    <w:rsid w:val="00986B56"/>
    <w:rsid w:val="00990F45"/>
    <w:rsid w:val="009937CC"/>
    <w:rsid w:val="0099552F"/>
    <w:rsid w:val="00995C80"/>
    <w:rsid w:val="009A2922"/>
    <w:rsid w:val="009A3A26"/>
    <w:rsid w:val="009A43E6"/>
    <w:rsid w:val="009A4EB4"/>
    <w:rsid w:val="009A7853"/>
    <w:rsid w:val="009B2E10"/>
    <w:rsid w:val="009B44A3"/>
    <w:rsid w:val="009C28CF"/>
    <w:rsid w:val="009C2B4E"/>
    <w:rsid w:val="009C41DE"/>
    <w:rsid w:val="009C5363"/>
    <w:rsid w:val="009C798F"/>
    <w:rsid w:val="009D0448"/>
    <w:rsid w:val="009D628E"/>
    <w:rsid w:val="009E1F3A"/>
    <w:rsid w:val="009E2661"/>
    <w:rsid w:val="009E434F"/>
    <w:rsid w:val="009E465C"/>
    <w:rsid w:val="009E6852"/>
    <w:rsid w:val="009F089B"/>
    <w:rsid w:val="009F3877"/>
    <w:rsid w:val="009F49C5"/>
    <w:rsid w:val="00A0333D"/>
    <w:rsid w:val="00A04653"/>
    <w:rsid w:val="00A06932"/>
    <w:rsid w:val="00A06A96"/>
    <w:rsid w:val="00A10258"/>
    <w:rsid w:val="00A10387"/>
    <w:rsid w:val="00A147F5"/>
    <w:rsid w:val="00A151C4"/>
    <w:rsid w:val="00A15D66"/>
    <w:rsid w:val="00A2019C"/>
    <w:rsid w:val="00A2061D"/>
    <w:rsid w:val="00A25E9B"/>
    <w:rsid w:val="00A26349"/>
    <w:rsid w:val="00A267FF"/>
    <w:rsid w:val="00A27629"/>
    <w:rsid w:val="00A3720F"/>
    <w:rsid w:val="00A4073F"/>
    <w:rsid w:val="00A409D5"/>
    <w:rsid w:val="00A43CF2"/>
    <w:rsid w:val="00A44899"/>
    <w:rsid w:val="00A528E3"/>
    <w:rsid w:val="00A53134"/>
    <w:rsid w:val="00A55D32"/>
    <w:rsid w:val="00A56FF0"/>
    <w:rsid w:val="00A63178"/>
    <w:rsid w:val="00A709CC"/>
    <w:rsid w:val="00A73414"/>
    <w:rsid w:val="00A74C5C"/>
    <w:rsid w:val="00A7551A"/>
    <w:rsid w:val="00A7740C"/>
    <w:rsid w:val="00A77CFB"/>
    <w:rsid w:val="00A819F4"/>
    <w:rsid w:val="00A82323"/>
    <w:rsid w:val="00A84395"/>
    <w:rsid w:val="00A879BE"/>
    <w:rsid w:val="00A90DE7"/>
    <w:rsid w:val="00A94237"/>
    <w:rsid w:val="00A94E18"/>
    <w:rsid w:val="00A97EEF"/>
    <w:rsid w:val="00AA1990"/>
    <w:rsid w:val="00AA2463"/>
    <w:rsid w:val="00AA303D"/>
    <w:rsid w:val="00AA3992"/>
    <w:rsid w:val="00AA6E03"/>
    <w:rsid w:val="00AB4954"/>
    <w:rsid w:val="00AB6D45"/>
    <w:rsid w:val="00AC09CC"/>
    <w:rsid w:val="00AC16D7"/>
    <w:rsid w:val="00AC2545"/>
    <w:rsid w:val="00AC471E"/>
    <w:rsid w:val="00AC5EB0"/>
    <w:rsid w:val="00AC6FE1"/>
    <w:rsid w:val="00AD0BBB"/>
    <w:rsid w:val="00AD24D1"/>
    <w:rsid w:val="00AD27A0"/>
    <w:rsid w:val="00AD41BD"/>
    <w:rsid w:val="00AD52F4"/>
    <w:rsid w:val="00AD59C3"/>
    <w:rsid w:val="00AE4D93"/>
    <w:rsid w:val="00AE7C79"/>
    <w:rsid w:val="00AF2F33"/>
    <w:rsid w:val="00AF51E4"/>
    <w:rsid w:val="00B03BB4"/>
    <w:rsid w:val="00B05199"/>
    <w:rsid w:val="00B0577C"/>
    <w:rsid w:val="00B075A1"/>
    <w:rsid w:val="00B1226A"/>
    <w:rsid w:val="00B12278"/>
    <w:rsid w:val="00B131AE"/>
    <w:rsid w:val="00B15BE7"/>
    <w:rsid w:val="00B21D94"/>
    <w:rsid w:val="00B2340D"/>
    <w:rsid w:val="00B23887"/>
    <w:rsid w:val="00B24C32"/>
    <w:rsid w:val="00B24F74"/>
    <w:rsid w:val="00B25133"/>
    <w:rsid w:val="00B324C5"/>
    <w:rsid w:val="00B326E4"/>
    <w:rsid w:val="00B33715"/>
    <w:rsid w:val="00B34A74"/>
    <w:rsid w:val="00B4043F"/>
    <w:rsid w:val="00B433A9"/>
    <w:rsid w:val="00B44E32"/>
    <w:rsid w:val="00B47C69"/>
    <w:rsid w:val="00B55928"/>
    <w:rsid w:val="00B560B4"/>
    <w:rsid w:val="00B61863"/>
    <w:rsid w:val="00B61CB6"/>
    <w:rsid w:val="00B63785"/>
    <w:rsid w:val="00B6595D"/>
    <w:rsid w:val="00B66689"/>
    <w:rsid w:val="00B66C9C"/>
    <w:rsid w:val="00B70F1B"/>
    <w:rsid w:val="00B72D79"/>
    <w:rsid w:val="00B72E3B"/>
    <w:rsid w:val="00B758BF"/>
    <w:rsid w:val="00B75AFD"/>
    <w:rsid w:val="00B768B0"/>
    <w:rsid w:val="00B76F29"/>
    <w:rsid w:val="00B77ADE"/>
    <w:rsid w:val="00B80259"/>
    <w:rsid w:val="00B80738"/>
    <w:rsid w:val="00B80C2B"/>
    <w:rsid w:val="00B812F0"/>
    <w:rsid w:val="00B8464D"/>
    <w:rsid w:val="00B846F3"/>
    <w:rsid w:val="00B8644B"/>
    <w:rsid w:val="00B873D2"/>
    <w:rsid w:val="00B90877"/>
    <w:rsid w:val="00B912F5"/>
    <w:rsid w:val="00B94587"/>
    <w:rsid w:val="00BA27F6"/>
    <w:rsid w:val="00BA66EA"/>
    <w:rsid w:val="00BA69A7"/>
    <w:rsid w:val="00BB2440"/>
    <w:rsid w:val="00BB595F"/>
    <w:rsid w:val="00BB7832"/>
    <w:rsid w:val="00BC2B92"/>
    <w:rsid w:val="00BC2C67"/>
    <w:rsid w:val="00BC3100"/>
    <w:rsid w:val="00BD2A0D"/>
    <w:rsid w:val="00BD3145"/>
    <w:rsid w:val="00BD69E4"/>
    <w:rsid w:val="00BE4BFF"/>
    <w:rsid w:val="00BF0184"/>
    <w:rsid w:val="00BF0DE8"/>
    <w:rsid w:val="00BF28E9"/>
    <w:rsid w:val="00BF367A"/>
    <w:rsid w:val="00BF7EA0"/>
    <w:rsid w:val="00C05311"/>
    <w:rsid w:val="00C13304"/>
    <w:rsid w:val="00C13579"/>
    <w:rsid w:val="00C15415"/>
    <w:rsid w:val="00C15AA6"/>
    <w:rsid w:val="00C16AD6"/>
    <w:rsid w:val="00C20E57"/>
    <w:rsid w:val="00C23D42"/>
    <w:rsid w:val="00C25E98"/>
    <w:rsid w:val="00C270EE"/>
    <w:rsid w:val="00C3012A"/>
    <w:rsid w:val="00C3509E"/>
    <w:rsid w:val="00C373A7"/>
    <w:rsid w:val="00C37A5D"/>
    <w:rsid w:val="00C41DF1"/>
    <w:rsid w:val="00C42C05"/>
    <w:rsid w:val="00C43B12"/>
    <w:rsid w:val="00C474BA"/>
    <w:rsid w:val="00C521FC"/>
    <w:rsid w:val="00C5622A"/>
    <w:rsid w:val="00C5642E"/>
    <w:rsid w:val="00C601C0"/>
    <w:rsid w:val="00C61C8B"/>
    <w:rsid w:val="00C647A2"/>
    <w:rsid w:val="00C65514"/>
    <w:rsid w:val="00C65F3A"/>
    <w:rsid w:val="00C65FB3"/>
    <w:rsid w:val="00C66640"/>
    <w:rsid w:val="00C666C5"/>
    <w:rsid w:val="00C70064"/>
    <w:rsid w:val="00C71282"/>
    <w:rsid w:val="00C72DAD"/>
    <w:rsid w:val="00C74F9C"/>
    <w:rsid w:val="00C8023A"/>
    <w:rsid w:val="00C85A5C"/>
    <w:rsid w:val="00C903E4"/>
    <w:rsid w:val="00C90858"/>
    <w:rsid w:val="00C92877"/>
    <w:rsid w:val="00C93EF1"/>
    <w:rsid w:val="00C9493D"/>
    <w:rsid w:val="00C97371"/>
    <w:rsid w:val="00C97B90"/>
    <w:rsid w:val="00C97F37"/>
    <w:rsid w:val="00CA102B"/>
    <w:rsid w:val="00CA1349"/>
    <w:rsid w:val="00CA2DA0"/>
    <w:rsid w:val="00CA63B6"/>
    <w:rsid w:val="00CB0355"/>
    <w:rsid w:val="00CB41E7"/>
    <w:rsid w:val="00CB556C"/>
    <w:rsid w:val="00CB7346"/>
    <w:rsid w:val="00CC0327"/>
    <w:rsid w:val="00CC047E"/>
    <w:rsid w:val="00CC37BC"/>
    <w:rsid w:val="00CC4222"/>
    <w:rsid w:val="00CC430B"/>
    <w:rsid w:val="00CC4B80"/>
    <w:rsid w:val="00CC4FC8"/>
    <w:rsid w:val="00CC52F7"/>
    <w:rsid w:val="00CC721B"/>
    <w:rsid w:val="00CD12EB"/>
    <w:rsid w:val="00CD55E4"/>
    <w:rsid w:val="00CD7353"/>
    <w:rsid w:val="00CE1004"/>
    <w:rsid w:val="00CE1D59"/>
    <w:rsid w:val="00CE4EB7"/>
    <w:rsid w:val="00CE5F05"/>
    <w:rsid w:val="00CF2DAB"/>
    <w:rsid w:val="00D0077B"/>
    <w:rsid w:val="00D034D0"/>
    <w:rsid w:val="00D047D0"/>
    <w:rsid w:val="00D05D3A"/>
    <w:rsid w:val="00D0782F"/>
    <w:rsid w:val="00D10A15"/>
    <w:rsid w:val="00D11278"/>
    <w:rsid w:val="00D14E40"/>
    <w:rsid w:val="00D17435"/>
    <w:rsid w:val="00D175D4"/>
    <w:rsid w:val="00D2087E"/>
    <w:rsid w:val="00D25665"/>
    <w:rsid w:val="00D2674B"/>
    <w:rsid w:val="00D26872"/>
    <w:rsid w:val="00D27CF5"/>
    <w:rsid w:val="00D3300A"/>
    <w:rsid w:val="00D3377C"/>
    <w:rsid w:val="00D339F8"/>
    <w:rsid w:val="00D33B8F"/>
    <w:rsid w:val="00D35F54"/>
    <w:rsid w:val="00D366C8"/>
    <w:rsid w:val="00D410CE"/>
    <w:rsid w:val="00D411EE"/>
    <w:rsid w:val="00D4123D"/>
    <w:rsid w:val="00D437E6"/>
    <w:rsid w:val="00D44748"/>
    <w:rsid w:val="00D457AA"/>
    <w:rsid w:val="00D47603"/>
    <w:rsid w:val="00D6032C"/>
    <w:rsid w:val="00D64C4F"/>
    <w:rsid w:val="00D7060D"/>
    <w:rsid w:val="00D70BB3"/>
    <w:rsid w:val="00D72C40"/>
    <w:rsid w:val="00D743F7"/>
    <w:rsid w:val="00D74988"/>
    <w:rsid w:val="00D76EAF"/>
    <w:rsid w:val="00D77BAF"/>
    <w:rsid w:val="00D80134"/>
    <w:rsid w:val="00D803B6"/>
    <w:rsid w:val="00D806B3"/>
    <w:rsid w:val="00D81A90"/>
    <w:rsid w:val="00D81CF0"/>
    <w:rsid w:val="00D87886"/>
    <w:rsid w:val="00D93731"/>
    <w:rsid w:val="00D95AE7"/>
    <w:rsid w:val="00D96F33"/>
    <w:rsid w:val="00D97916"/>
    <w:rsid w:val="00DA1530"/>
    <w:rsid w:val="00DA2177"/>
    <w:rsid w:val="00DA2201"/>
    <w:rsid w:val="00DA241F"/>
    <w:rsid w:val="00DA549C"/>
    <w:rsid w:val="00DA700D"/>
    <w:rsid w:val="00DA7C42"/>
    <w:rsid w:val="00DB18F0"/>
    <w:rsid w:val="00DB2905"/>
    <w:rsid w:val="00DB2B4E"/>
    <w:rsid w:val="00DB3232"/>
    <w:rsid w:val="00DB43FB"/>
    <w:rsid w:val="00DB57E0"/>
    <w:rsid w:val="00DC32F6"/>
    <w:rsid w:val="00DC3F6F"/>
    <w:rsid w:val="00DC4BCF"/>
    <w:rsid w:val="00DC7520"/>
    <w:rsid w:val="00DC7DAC"/>
    <w:rsid w:val="00DD0958"/>
    <w:rsid w:val="00DD1B9E"/>
    <w:rsid w:val="00DD4F9E"/>
    <w:rsid w:val="00DD539A"/>
    <w:rsid w:val="00DD58F0"/>
    <w:rsid w:val="00DE2240"/>
    <w:rsid w:val="00DE2E26"/>
    <w:rsid w:val="00DE4385"/>
    <w:rsid w:val="00DF050E"/>
    <w:rsid w:val="00DF0B34"/>
    <w:rsid w:val="00DF38D3"/>
    <w:rsid w:val="00DF4D5E"/>
    <w:rsid w:val="00E03ADB"/>
    <w:rsid w:val="00E04246"/>
    <w:rsid w:val="00E06A99"/>
    <w:rsid w:val="00E14B68"/>
    <w:rsid w:val="00E15F00"/>
    <w:rsid w:val="00E165CA"/>
    <w:rsid w:val="00E178CA"/>
    <w:rsid w:val="00E2427A"/>
    <w:rsid w:val="00E24892"/>
    <w:rsid w:val="00E26592"/>
    <w:rsid w:val="00E26ACD"/>
    <w:rsid w:val="00E31809"/>
    <w:rsid w:val="00E36787"/>
    <w:rsid w:val="00E36F13"/>
    <w:rsid w:val="00E413A7"/>
    <w:rsid w:val="00E41492"/>
    <w:rsid w:val="00E4173E"/>
    <w:rsid w:val="00E418CE"/>
    <w:rsid w:val="00E421A3"/>
    <w:rsid w:val="00E4440E"/>
    <w:rsid w:val="00E44919"/>
    <w:rsid w:val="00E453ED"/>
    <w:rsid w:val="00E4566A"/>
    <w:rsid w:val="00E46569"/>
    <w:rsid w:val="00E506A8"/>
    <w:rsid w:val="00E52123"/>
    <w:rsid w:val="00E55752"/>
    <w:rsid w:val="00E71DAA"/>
    <w:rsid w:val="00E72792"/>
    <w:rsid w:val="00E76725"/>
    <w:rsid w:val="00E8074F"/>
    <w:rsid w:val="00E80F6F"/>
    <w:rsid w:val="00E902EC"/>
    <w:rsid w:val="00E90542"/>
    <w:rsid w:val="00E90A35"/>
    <w:rsid w:val="00E963D9"/>
    <w:rsid w:val="00E96D65"/>
    <w:rsid w:val="00E9798E"/>
    <w:rsid w:val="00E97FB4"/>
    <w:rsid w:val="00EA006D"/>
    <w:rsid w:val="00EA0160"/>
    <w:rsid w:val="00EA13AA"/>
    <w:rsid w:val="00EA23DB"/>
    <w:rsid w:val="00EA3315"/>
    <w:rsid w:val="00EA3F87"/>
    <w:rsid w:val="00EA3FE8"/>
    <w:rsid w:val="00EA4367"/>
    <w:rsid w:val="00EB0D65"/>
    <w:rsid w:val="00EB18E6"/>
    <w:rsid w:val="00EB3C5D"/>
    <w:rsid w:val="00EB4FC4"/>
    <w:rsid w:val="00EB5785"/>
    <w:rsid w:val="00EB5914"/>
    <w:rsid w:val="00EB5D46"/>
    <w:rsid w:val="00EC12F6"/>
    <w:rsid w:val="00EC4930"/>
    <w:rsid w:val="00ED4A27"/>
    <w:rsid w:val="00ED4B9A"/>
    <w:rsid w:val="00ED797B"/>
    <w:rsid w:val="00EE1B48"/>
    <w:rsid w:val="00EE40F3"/>
    <w:rsid w:val="00EE63F7"/>
    <w:rsid w:val="00EE648C"/>
    <w:rsid w:val="00EE6B2E"/>
    <w:rsid w:val="00EF6834"/>
    <w:rsid w:val="00F047CB"/>
    <w:rsid w:val="00F05713"/>
    <w:rsid w:val="00F05811"/>
    <w:rsid w:val="00F06969"/>
    <w:rsid w:val="00F15503"/>
    <w:rsid w:val="00F232E1"/>
    <w:rsid w:val="00F332EE"/>
    <w:rsid w:val="00F4154F"/>
    <w:rsid w:val="00F417CF"/>
    <w:rsid w:val="00F47AD2"/>
    <w:rsid w:val="00F47B85"/>
    <w:rsid w:val="00F5515A"/>
    <w:rsid w:val="00F565F1"/>
    <w:rsid w:val="00F57BB5"/>
    <w:rsid w:val="00F602AD"/>
    <w:rsid w:val="00F62B16"/>
    <w:rsid w:val="00F64675"/>
    <w:rsid w:val="00F64E37"/>
    <w:rsid w:val="00F67E1F"/>
    <w:rsid w:val="00F712BE"/>
    <w:rsid w:val="00F72A85"/>
    <w:rsid w:val="00F811B2"/>
    <w:rsid w:val="00F85F1F"/>
    <w:rsid w:val="00F86C21"/>
    <w:rsid w:val="00F876BE"/>
    <w:rsid w:val="00F9157E"/>
    <w:rsid w:val="00F9160E"/>
    <w:rsid w:val="00F94623"/>
    <w:rsid w:val="00FA154A"/>
    <w:rsid w:val="00FA2918"/>
    <w:rsid w:val="00FA3BB3"/>
    <w:rsid w:val="00FA6F27"/>
    <w:rsid w:val="00FB3905"/>
    <w:rsid w:val="00FB6DFA"/>
    <w:rsid w:val="00FB727F"/>
    <w:rsid w:val="00FC0315"/>
    <w:rsid w:val="00FC08CA"/>
    <w:rsid w:val="00FC7CA0"/>
    <w:rsid w:val="00FD165C"/>
    <w:rsid w:val="00FD178F"/>
    <w:rsid w:val="00FE168A"/>
    <w:rsid w:val="00FE2A3F"/>
    <w:rsid w:val="00FE2D7F"/>
    <w:rsid w:val="00FE65FF"/>
    <w:rsid w:val="00FF07D7"/>
    <w:rsid w:val="00FF3469"/>
    <w:rsid w:val="00FF766E"/>
    <w:rsid w:val="00FF7C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7E6"/>
  </w:style>
  <w:style w:type="paragraph" w:styleId="Kop1">
    <w:name w:val="heading 1"/>
    <w:basedOn w:val="Standaard"/>
    <w:next w:val="Standaard"/>
    <w:link w:val="Kop1Char"/>
    <w:uiPriority w:val="9"/>
    <w:qFormat/>
    <w:rsid w:val="00F05811"/>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5811"/>
    <w:pPr>
      <w:keepNext/>
      <w:keepLines/>
      <w:spacing w:before="200" w:after="0"/>
      <w:outlineLvl w:val="1"/>
    </w:pPr>
    <w:rPr>
      <w:rFonts w:ascii="Calibri" w:eastAsiaTheme="majorEastAsia" w:hAnsi="Calibri" w:cstheme="majorBidi"/>
      <w:b/>
      <w:bCs/>
      <w:color w:val="4F81BD" w:themeColor="accent1"/>
      <w:sz w:val="26"/>
      <w:szCs w:val="26"/>
    </w:rPr>
  </w:style>
  <w:style w:type="paragraph" w:styleId="Kop3">
    <w:name w:val="heading 3"/>
    <w:basedOn w:val="Standaard"/>
    <w:next w:val="Standaard"/>
    <w:link w:val="Kop3Char"/>
    <w:uiPriority w:val="9"/>
    <w:unhideWhenUsed/>
    <w:qFormat/>
    <w:rsid w:val="00194E6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434D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A55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05811"/>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05811"/>
    <w:rPr>
      <w:rFonts w:ascii="Calibri" w:eastAsiaTheme="majorEastAsia" w:hAnsi="Calibr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ED79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97B"/>
  </w:style>
  <w:style w:type="paragraph" w:styleId="Voettekst">
    <w:name w:val="footer"/>
    <w:basedOn w:val="Standaard"/>
    <w:link w:val="VoettekstChar"/>
    <w:uiPriority w:val="99"/>
    <w:unhideWhenUsed/>
    <w:rsid w:val="00ED79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97B"/>
  </w:style>
  <w:style w:type="paragraph" w:styleId="Ballontekst">
    <w:name w:val="Balloon Text"/>
    <w:basedOn w:val="Standaard"/>
    <w:link w:val="BallontekstChar"/>
    <w:uiPriority w:val="99"/>
    <w:semiHidden/>
    <w:unhideWhenUsed/>
    <w:rsid w:val="00ED79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97B"/>
    <w:rPr>
      <w:rFonts w:ascii="Tahoma" w:hAnsi="Tahoma" w:cs="Tahoma"/>
      <w:sz w:val="16"/>
      <w:szCs w:val="16"/>
    </w:rPr>
  </w:style>
  <w:style w:type="character" w:customStyle="1" w:styleId="Kop1Char">
    <w:name w:val="Kop 1 Char"/>
    <w:basedOn w:val="Standaardalinea-lettertype"/>
    <w:link w:val="Kop1"/>
    <w:uiPriority w:val="9"/>
    <w:rsid w:val="00F05811"/>
    <w:rPr>
      <w:rFonts w:ascii="Calibri" w:eastAsiaTheme="majorEastAsia" w:hAnsi="Calibr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22CD9"/>
    <w:pPr>
      <w:outlineLvl w:val="9"/>
    </w:pPr>
    <w:rPr>
      <w:lang w:eastAsia="nl-NL"/>
    </w:rPr>
  </w:style>
  <w:style w:type="paragraph" w:styleId="Inhopg1">
    <w:name w:val="toc 1"/>
    <w:basedOn w:val="Standaard"/>
    <w:next w:val="Standaard"/>
    <w:autoRedefine/>
    <w:uiPriority w:val="39"/>
    <w:unhideWhenUsed/>
    <w:rsid w:val="006C1392"/>
    <w:pPr>
      <w:tabs>
        <w:tab w:val="left" w:pos="440"/>
        <w:tab w:val="right" w:leader="dot" w:pos="9062"/>
      </w:tabs>
      <w:spacing w:after="100"/>
    </w:pPr>
  </w:style>
  <w:style w:type="character" w:styleId="Hyperlink">
    <w:name w:val="Hyperlink"/>
    <w:basedOn w:val="Standaardalinea-lettertype"/>
    <w:uiPriority w:val="99"/>
    <w:unhideWhenUsed/>
    <w:rsid w:val="00022CD9"/>
    <w:rPr>
      <w:color w:val="0000FF" w:themeColor="hyperlink"/>
      <w:u w:val="single"/>
    </w:rPr>
  </w:style>
  <w:style w:type="paragraph" w:styleId="Lijstalinea">
    <w:name w:val="List Paragraph"/>
    <w:basedOn w:val="Standaard"/>
    <w:uiPriority w:val="34"/>
    <w:qFormat/>
    <w:rsid w:val="00194E68"/>
    <w:pPr>
      <w:ind w:left="720"/>
      <w:contextualSpacing/>
    </w:pPr>
  </w:style>
  <w:style w:type="table" w:styleId="Tabelraster">
    <w:name w:val="Table Grid"/>
    <w:basedOn w:val="Standaardtabel"/>
    <w:uiPriority w:val="59"/>
    <w:rsid w:val="0019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05811"/>
    <w:rPr>
      <w:rFonts w:ascii="Calibri" w:eastAsiaTheme="majorEastAsia" w:hAnsi="Calibri" w:cstheme="majorBidi"/>
      <w:b/>
      <w:bCs/>
      <w:color w:val="4F81BD" w:themeColor="accent1"/>
      <w:sz w:val="26"/>
      <w:szCs w:val="26"/>
    </w:rPr>
  </w:style>
  <w:style w:type="character" w:customStyle="1" w:styleId="Kop3Char">
    <w:name w:val="Kop 3 Char"/>
    <w:basedOn w:val="Standaardalinea-lettertype"/>
    <w:link w:val="Kop3"/>
    <w:uiPriority w:val="9"/>
    <w:rsid w:val="00194E68"/>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3A7E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E15F00"/>
    <w:pPr>
      <w:tabs>
        <w:tab w:val="left" w:pos="880"/>
        <w:tab w:val="right" w:leader="dot" w:pos="9062"/>
      </w:tabs>
      <w:spacing w:after="100"/>
      <w:ind w:left="220"/>
    </w:pPr>
    <w:rPr>
      <w:rFonts w:eastAsiaTheme="majorEastAsia" w:cstheme="majorBidi"/>
      <w:bCs/>
      <w:noProof/>
    </w:rPr>
  </w:style>
  <w:style w:type="paragraph" w:styleId="Inhopg3">
    <w:name w:val="toc 3"/>
    <w:basedOn w:val="Standaard"/>
    <w:next w:val="Standaard"/>
    <w:autoRedefine/>
    <w:uiPriority w:val="39"/>
    <w:unhideWhenUsed/>
    <w:rsid w:val="00282673"/>
    <w:pPr>
      <w:spacing w:after="100"/>
      <w:ind w:left="440"/>
    </w:pPr>
  </w:style>
  <w:style w:type="paragraph" w:styleId="Geenafstand">
    <w:name w:val="No Spacing"/>
    <w:uiPriority w:val="1"/>
    <w:qFormat/>
    <w:rsid w:val="006D0B40"/>
    <w:pPr>
      <w:spacing w:after="0" w:line="240" w:lineRule="auto"/>
    </w:pPr>
  </w:style>
  <w:style w:type="table" w:styleId="Gemiddeldraster3-accent1">
    <w:name w:val="Medium Grid 3 Accent 1"/>
    <w:basedOn w:val="Standaardtabel"/>
    <w:uiPriority w:val="69"/>
    <w:rsid w:val="00C41D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1">
    <w:name w:val="Medium Grid 2 Accent 1"/>
    <w:basedOn w:val="Standaardtabel"/>
    <w:uiPriority w:val="68"/>
    <w:rsid w:val="00C41D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elraster1">
    <w:name w:val="Tabelraster1"/>
    <w:basedOn w:val="Standaardtabel"/>
    <w:next w:val="Tabelraster"/>
    <w:uiPriority w:val="59"/>
    <w:rsid w:val="0035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95F69"/>
    <w:rPr>
      <w:sz w:val="16"/>
      <w:szCs w:val="16"/>
    </w:rPr>
  </w:style>
  <w:style w:type="paragraph" w:styleId="Tekstopmerking">
    <w:name w:val="annotation text"/>
    <w:basedOn w:val="Standaard"/>
    <w:link w:val="TekstopmerkingChar"/>
    <w:uiPriority w:val="99"/>
    <w:semiHidden/>
    <w:unhideWhenUsed/>
    <w:rsid w:val="00795F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5F69"/>
    <w:rPr>
      <w:sz w:val="20"/>
      <w:szCs w:val="20"/>
    </w:rPr>
  </w:style>
  <w:style w:type="paragraph" w:styleId="Onderwerpvanopmerking">
    <w:name w:val="annotation subject"/>
    <w:basedOn w:val="Tekstopmerking"/>
    <w:next w:val="Tekstopmerking"/>
    <w:link w:val="OnderwerpvanopmerkingChar"/>
    <w:uiPriority w:val="99"/>
    <w:semiHidden/>
    <w:unhideWhenUsed/>
    <w:rsid w:val="00795F69"/>
    <w:rPr>
      <w:b/>
      <w:bCs/>
    </w:rPr>
  </w:style>
  <w:style w:type="character" w:customStyle="1" w:styleId="OnderwerpvanopmerkingChar">
    <w:name w:val="Onderwerp van opmerking Char"/>
    <w:basedOn w:val="TekstopmerkingChar"/>
    <w:link w:val="Onderwerpvanopmerking"/>
    <w:uiPriority w:val="99"/>
    <w:semiHidden/>
    <w:rsid w:val="00795F69"/>
    <w:rPr>
      <w:b/>
      <w:bCs/>
      <w:sz w:val="20"/>
      <w:szCs w:val="20"/>
    </w:rPr>
  </w:style>
  <w:style w:type="table" w:customStyle="1" w:styleId="Tabelraster2">
    <w:name w:val="Tabelraster2"/>
    <w:basedOn w:val="Standaardtabel"/>
    <w:next w:val="Tabelraster"/>
    <w:uiPriority w:val="59"/>
    <w:rsid w:val="003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04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05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1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D539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539A"/>
    <w:rPr>
      <w:sz w:val="20"/>
      <w:szCs w:val="20"/>
    </w:rPr>
  </w:style>
  <w:style w:type="character" w:styleId="Voetnootmarkering">
    <w:name w:val="footnote reference"/>
    <w:basedOn w:val="Standaardalinea-lettertype"/>
    <w:uiPriority w:val="99"/>
    <w:semiHidden/>
    <w:unhideWhenUsed/>
    <w:rsid w:val="00DD539A"/>
    <w:rPr>
      <w:vertAlign w:val="superscript"/>
    </w:rPr>
  </w:style>
  <w:style w:type="character" w:customStyle="1" w:styleId="Kop5Char">
    <w:name w:val="Kop 5 Char"/>
    <w:basedOn w:val="Standaardalinea-lettertype"/>
    <w:link w:val="Kop5"/>
    <w:uiPriority w:val="9"/>
    <w:semiHidden/>
    <w:rsid w:val="008A5585"/>
    <w:rPr>
      <w:rFonts w:asciiTheme="majorHAnsi" w:eastAsiaTheme="majorEastAsia" w:hAnsiTheme="majorHAnsi" w:cstheme="majorBidi"/>
      <w:color w:val="243F60" w:themeColor="accent1" w:themeShade="7F"/>
    </w:rPr>
  </w:style>
  <w:style w:type="table" w:customStyle="1" w:styleId="Tabelraster7">
    <w:name w:val="Tabelraster7"/>
    <w:basedOn w:val="Standaardtabel"/>
    <w:next w:val="Tabelraster"/>
    <w:uiPriority w:val="59"/>
    <w:rsid w:val="0015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677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raster8">
    <w:name w:val="Tabelraster8"/>
    <w:basedOn w:val="Standaardtabel"/>
    <w:next w:val="Tabelraster"/>
    <w:uiPriority w:val="59"/>
    <w:rsid w:val="00B7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B7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0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E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34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D3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434D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37E6"/>
  </w:style>
  <w:style w:type="paragraph" w:styleId="Kop1">
    <w:name w:val="heading 1"/>
    <w:basedOn w:val="Standaard"/>
    <w:next w:val="Standaard"/>
    <w:link w:val="Kop1Char"/>
    <w:uiPriority w:val="9"/>
    <w:qFormat/>
    <w:rsid w:val="00F05811"/>
    <w:pPr>
      <w:keepNext/>
      <w:keepLines/>
      <w:spacing w:before="480" w:after="0"/>
      <w:outlineLvl w:val="0"/>
    </w:pPr>
    <w:rPr>
      <w:rFonts w:ascii="Calibri" w:eastAsiaTheme="majorEastAsia" w:hAnsi="Calibr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05811"/>
    <w:pPr>
      <w:keepNext/>
      <w:keepLines/>
      <w:spacing w:before="200" w:after="0"/>
      <w:outlineLvl w:val="1"/>
    </w:pPr>
    <w:rPr>
      <w:rFonts w:ascii="Calibri" w:eastAsiaTheme="majorEastAsia" w:hAnsi="Calibri" w:cstheme="majorBidi"/>
      <w:b/>
      <w:bCs/>
      <w:color w:val="4F81BD" w:themeColor="accent1"/>
      <w:sz w:val="26"/>
      <w:szCs w:val="26"/>
    </w:rPr>
  </w:style>
  <w:style w:type="paragraph" w:styleId="Kop3">
    <w:name w:val="heading 3"/>
    <w:basedOn w:val="Standaard"/>
    <w:next w:val="Standaard"/>
    <w:link w:val="Kop3Char"/>
    <w:uiPriority w:val="9"/>
    <w:unhideWhenUsed/>
    <w:qFormat/>
    <w:rsid w:val="00194E68"/>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434D1"/>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8A558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05811"/>
    <w:pPr>
      <w:pBdr>
        <w:bottom w:val="single" w:sz="8" w:space="4" w:color="4F81BD" w:themeColor="accent1"/>
      </w:pBdr>
      <w:spacing w:after="300" w:line="240" w:lineRule="auto"/>
      <w:contextualSpacing/>
    </w:pPr>
    <w:rPr>
      <w:rFonts w:ascii="Calibri" w:eastAsiaTheme="majorEastAsia" w:hAnsi="Calibr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05811"/>
    <w:rPr>
      <w:rFonts w:ascii="Calibri" w:eastAsiaTheme="majorEastAsia" w:hAnsi="Calibr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ED797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797B"/>
  </w:style>
  <w:style w:type="paragraph" w:styleId="Voettekst">
    <w:name w:val="footer"/>
    <w:basedOn w:val="Standaard"/>
    <w:link w:val="VoettekstChar"/>
    <w:uiPriority w:val="99"/>
    <w:unhideWhenUsed/>
    <w:rsid w:val="00ED79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797B"/>
  </w:style>
  <w:style w:type="paragraph" w:styleId="Ballontekst">
    <w:name w:val="Balloon Text"/>
    <w:basedOn w:val="Standaard"/>
    <w:link w:val="BallontekstChar"/>
    <w:uiPriority w:val="99"/>
    <w:semiHidden/>
    <w:unhideWhenUsed/>
    <w:rsid w:val="00ED79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97B"/>
    <w:rPr>
      <w:rFonts w:ascii="Tahoma" w:hAnsi="Tahoma" w:cs="Tahoma"/>
      <w:sz w:val="16"/>
      <w:szCs w:val="16"/>
    </w:rPr>
  </w:style>
  <w:style w:type="character" w:customStyle="1" w:styleId="Kop1Char">
    <w:name w:val="Kop 1 Char"/>
    <w:basedOn w:val="Standaardalinea-lettertype"/>
    <w:link w:val="Kop1"/>
    <w:uiPriority w:val="9"/>
    <w:rsid w:val="00F05811"/>
    <w:rPr>
      <w:rFonts w:ascii="Calibri" w:eastAsiaTheme="majorEastAsia" w:hAnsi="Calibri" w:cstheme="majorBidi"/>
      <w:b/>
      <w:bCs/>
      <w:color w:val="365F91" w:themeColor="accent1" w:themeShade="BF"/>
      <w:sz w:val="28"/>
      <w:szCs w:val="28"/>
    </w:rPr>
  </w:style>
  <w:style w:type="paragraph" w:styleId="Kopvaninhoudsopgave">
    <w:name w:val="TOC Heading"/>
    <w:basedOn w:val="Kop1"/>
    <w:next w:val="Standaard"/>
    <w:uiPriority w:val="39"/>
    <w:unhideWhenUsed/>
    <w:qFormat/>
    <w:rsid w:val="00022CD9"/>
    <w:pPr>
      <w:outlineLvl w:val="9"/>
    </w:pPr>
    <w:rPr>
      <w:lang w:eastAsia="nl-NL"/>
    </w:rPr>
  </w:style>
  <w:style w:type="paragraph" w:styleId="Inhopg1">
    <w:name w:val="toc 1"/>
    <w:basedOn w:val="Standaard"/>
    <w:next w:val="Standaard"/>
    <w:autoRedefine/>
    <w:uiPriority w:val="39"/>
    <w:unhideWhenUsed/>
    <w:rsid w:val="006C1392"/>
    <w:pPr>
      <w:tabs>
        <w:tab w:val="left" w:pos="440"/>
        <w:tab w:val="right" w:leader="dot" w:pos="9062"/>
      </w:tabs>
      <w:spacing w:after="100"/>
    </w:pPr>
  </w:style>
  <w:style w:type="character" w:styleId="Hyperlink">
    <w:name w:val="Hyperlink"/>
    <w:basedOn w:val="Standaardalinea-lettertype"/>
    <w:uiPriority w:val="99"/>
    <w:unhideWhenUsed/>
    <w:rsid w:val="00022CD9"/>
    <w:rPr>
      <w:color w:val="0000FF" w:themeColor="hyperlink"/>
      <w:u w:val="single"/>
    </w:rPr>
  </w:style>
  <w:style w:type="paragraph" w:styleId="Lijstalinea">
    <w:name w:val="List Paragraph"/>
    <w:basedOn w:val="Standaard"/>
    <w:uiPriority w:val="34"/>
    <w:qFormat/>
    <w:rsid w:val="00194E68"/>
    <w:pPr>
      <w:ind w:left="720"/>
      <w:contextualSpacing/>
    </w:pPr>
  </w:style>
  <w:style w:type="table" w:styleId="Tabelraster">
    <w:name w:val="Table Grid"/>
    <w:basedOn w:val="Standaardtabel"/>
    <w:uiPriority w:val="59"/>
    <w:rsid w:val="00194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F05811"/>
    <w:rPr>
      <w:rFonts w:ascii="Calibri" w:eastAsiaTheme="majorEastAsia" w:hAnsi="Calibri" w:cstheme="majorBidi"/>
      <w:b/>
      <w:bCs/>
      <w:color w:val="4F81BD" w:themeColor="accent1"/>
      <w:sz w:val="26"/>
      <w:szCs w:val="26"/>
    </w:rPr>
  </w:style>
  <w:style w:type="character" w:customStyle="1" w:styleId="Kop3Char">
    <w:name w:val="Kop 3 Char"/>
    <w:basedOn w:val="Standaardalinea-lettertype"/>
    <w:link w:val="Kop3"/>
    <w:uiPriority w:val="9"/>
    <w:rsid w:val="00194E68"/>
    <w:rPr>
      <w:rFonts w:asciiTheme="majorHAnsi" w:eastAsiaTheme="majorEastAsia" w:hAnsiTheme="majorHAnsi" w:cstheme="majorBidi"/>
      <w:b/>
      <w:bCs/>
      <w:color w:val="4F81BD" w:themeColor="accent1"/>
    </w:rPr>
  </w:style>
  <w:style w:type="paragraph" w:styleId="Normaalweb">
    <w:name w:val="Normal (Web)"/>
    <w:basedOn w:val="Standaard"/>
    <w:uiPriority w:val="99"/>
    <w:unhideWhenUsed/>
    <w:rsid w:val="003A7E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2">
    <w:name w:val="toc 2"/>
    <w:basedOn w:val="Standaard"/>
    <w:next w:val="Standaard"/>
    <w:autoRedefine/>
    <w:uiPriority w:val="39"/>
    <w:unhideWhenUsed/>
    <w:rsid w:val="00E15F00"/>
    <w:pPr>
      <w:tabs>
        <w:tab w:val="left" w:pos="880"/>
        <w:tab w:val="right" w:leader="dot" w:pos="9062"/>
      </w:tabs>
      <w:spacing w:after="100"/>
      <w:ind w:left="220"/>
    </w:pPr>
    <w:rPr>
      <w:rFonts w:eastAsiaTheme="majorEastAsia" w:cstheme="majorBidi"/>
      <w:bCs/>
      <w:noProof/>
    </w:rPr>
  </w:style>
  <w:style w:type="paragraph" w:styleId="Inhopg3">
    <w:name w:val="toc 3"/>
    <w:basedOn w:val="Standaard"/>
    <w:next w:val="Standaard"/>
    <w:autoRedefine/>
    <w:uiPriority w:val="39"/>
    <w:unhideWhenUsed/>
    <w:rsid w:val="00282673"/>
    <w:pPr>
      <w:spacing w:after="100"/>
      <w:ind w:left="440"/>
    </w:pPr>
  </w:style>
  <w:style w:type="paragraph" w:styleId="Geenafstand">
    <w:name w:val="No Spacing"/>
    <w:uiPriority w:val="1"/>
    <w:qFormat/>
    <w:rsid w:val="006D0B40"/>
    <w:pPr>
      <w:spacing w:after="0" w:line="240" w:lineRule="auto"/>
    </w:pPr>
  </w:style>
  <w:style w:type="table" w:styleId="Gemiddeldraster3-accent1">
    <w:name w:val="Medium Grid 3 Accent 1"/>
    <w:basedOn w:val="Standaardtabel"/>
    <w:uiPriority w:val="69"/>
    <w:rsid w:val="00C41D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1">
    <w:name w:val="Medium Grid 2 Accent 1"/>
    <w:basedOn w:val="Standaardtabel"/>
    <w:uiPriority w:val="68"/>
    <w:rsid w:val="00C41DF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Tabelraster1">
    <w:name w:val="Tabelraster1"/>
    <w:basedOn w:val="Standaardtabel"/>
    <w:next w:val="Tabelraster"/>
    <w:uiPriority w:val="59"/>
    <w:rsid w:val="0035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95F69"/>
    <w:rPr>
      <w:sz w:val="16"/>
      <w:szCs w:val="16"/>
    </w:rPr>
  </w:style>
  <w:style w:type="paragraph" w:styleId="Tekstopmerking">
    <w:name w:val="annotation text"/>
    <w:basedOn w:val="Standaard"/>
    <w:link w:val="TekstopmerkingChar"/>
    <w:uiPriority w:val="99"/>
    <w:semiHidden/>
    <w:unhideWhenUsed/>
    <w:rsid w:val="00795F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95F69"/>
    <w:rPr>
      <w:sz w:val="20"/>
      <w:szCs w:val="20"/>
    </w:rPr>
  </w:style>
  <w:style w:type="paragraph" w:styleId="Onderwerpvanopmerking">
    <w:name w:val="annotation subject"/>
    <w:basedOn w:val="Tekstopmerking"/>
    <w:next w:val="Tekstopmerking"/>
    <w:link w:val="OnderwerpvanopmerkingChar"/>
    <w:uiPriority w:val="99"/>
    <w:semiHidden/>
    <w:unhideWhenUsed/>
    <w:rsid w:val="00795F69"/>
    <w:rPr>
      <w:b/>
      <w:bCs/>
    </w:rPr>
  </w:style>
  <w:style w:type="character" w:customStyle="1" w:styleId="OnderwerpvanopmerkingChar">
    <w:name w:val="Onderwerp van opmerking Char"/>
    <w:basedOn w:val="TekstopmerkingChar"/>
    <w:link w:val="Onderwerpvanopmerking"/>
    <w:uiPriority w:val="99"/>
    <w:semiHidden/>
    <w:rsid w:val="00795F69"/>
    <w:rPr>
      <w:b/>
      <w:bCs/>
      <w:sz w:val="20"/>
      <w:szCs w:val="20"/>
    </w:rPr>
  </w:style>
  <w:style w:type="table" w:customStyle="1" w:styleId="Tabelraster2">
    <w:name w:val="Tabelraster2"/>
    <w:basedOn w:val="Standaardtabel"/>
    <w:next w:val="Tabelraster"/>
    <w:uiPriority w:val="59"/>
    <w:rsid w:val="003C7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EC1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uiPriority w:val="59"/>
    <w:rsid w:val="00041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uiPriority w:val="59"/>
    <w:rsid w:val="00051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uiPriority w:val="59"/>
    <w:rsid w:val="00411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iPriority w:val="99"/>
    <w:semiHidden/>
    <w:unhideWhenUsed/>
    <w:rsid w:val="00DD539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D539A"/>
    <w:rPr>
      <w:sz w:val="20"/>
      <w:szCs w:val="20"/>
    </w:rPr>
  </w:style>
  <w:style w:type="character" w:styleId="Voetnootmarkering">
    <w:name w:val="footnote reference"/>
    <w:basedOn w:val="Standaardalinea-lettertype"/>
    <w:uiPriority w:val="99"/>
    <w:semiHidden/>
    <w:unhideWhenUsed/>
    <w:rsid w:val="00DD539A"/>
    <w:rPr>
      <w:vertAlign w:val="superscript"/>
    </w:rPr>
  </w:style>
  <w:style w:type="character" w:customStyle="1" w:styleId="Kop5Char">
    <w:name w:val="Kop 5 Char"/>
    <w:basedOn w:val="Standaardalinea-lettertype"/>
    <w:link w:val="Kop5"/>
    <w:uiPriority w:val="9"/>
    <w:semiHidden/>
    <w:rsid w:val="008A5585"/>
    <w:rPr>
      <w:rFonts w:asciiTheme="majorHAnsi" w:eastAsiaTheme="majorEastAsia" w:hAnsiTheme="majorHAnsi" w:cstheme="majorBidi"/>
      <w:color w:val="243F60" w:themeColor="accent1" w:themeShade="7F"/>
    </w:rPr>
  </w:style>
  <w:style w:type="table" w:customStyle="1" w:styleId="Tabelraster7">
    <w:name w:val="Tabelraster7"/>
    <w:basedOn w:val="Standaardtabel"/>
    <w:next w:val="Tabelraster"/>
    <w:uiPriority w:val="59"/>
    <w:rsid w:val="00156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1">
    <w:name w:val="Light List Accent 1"/>
    <w:basedOn w:val="Standaardtabel"/>
    <w:uiPriority w:val="61"/>
    <w:rsid w:val="00677DE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elraster8">
    <w:name w:val="Tabelraster8"/>
    <w:basedOn w:val="Standaardtabel"/>
    <w:next w:val="Tabelraster"/>
    <w:uiPriority w:val="59"/>
    <w:rsid w:val="00B7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uiPriority w:val="59"/>
    <w:rsid w:val="00B77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1">
    <w:name w:val="Tabelraster21"/>
    <w:basedOn w:val="Standaardtabel"/>
    <w:next w:val="Tabelraster"/>
    <w:uiPriority w:val="59"/>
    <w:rsid w:val="0043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uiPriority w:val="59"/>
    <w:rsid w:val="00D04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uiPriority w:val="59"/>
    <w:rsid w:val="00CE5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uiPriority w:val="59"/>
    <w:rsid w:val="00347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uiPriority w:val="59"/>
    <w:rsid w:val="00D3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1434D1"/>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2985">
      <w:bodyDiv w:val="1"/>
      <w:marLeft w:val="0"/>
      <w:marRight w:val="0"/>
      <w:marTop w:val="0"/>
      <w:marBottom w:val="0"/>
      <w:divBdr>
        <w:top w:val="none" w:sz="0" w:space="0" w:color="auto"/>
        <w:left w:val="none" w:sz="0" w:space="0" w:color="auto"/>
        <w:bottom w:val="none" w:sz="0" w:space="0" w:color="auto"/>
        <w:right w:val="none" w:sz="0" w:space="0" w:color="auto"/>
      </w:divBdr>
    </w:div>
    <w:div w:id="695547397">
      <w:bodyDiv w:val="1"/>
      <w:marLeft w:val="0"/>
      <w:marRight w:val="0"/>
      <w:marTop w:val="0"/>
      <w:marBottom w:val="0"/>
      <w:divBdr>
        <w:top w:val="none" w:sz="0" w:space="0" w:color="auto"/>
        <w:left w:val="none" w:sz="0" w:space="0" w:color="auto"/>
        <w:bottom w:val="none" w:sz="0" w:space="0" w:color="auto"/>
        <w:right w:val="none" w:sz="0" w:space="0" w:color="auto"/>
      </w:divBdr>
    </w:div>
    <w:div w:id="741412235">
      <w:bodyDiv w:val="1"/>
      <w:marLeft w:val="0"/>
      <w:marRight w:val="0"/>
      <w:marTop w:val="0"/>
      <w:marBottom w:val="0"/>
      <w:divBdr>
        <w:top w:val="none" w:sz="0" w:space="0" w:color="auto"/>
        <w:left w:val="none" w:sz="0" w:space="0" w:color="auto"/>
        <w:bottom w:val="none" w:sz="0" w:space="0" w:color="auto"/>
        <w:right w:val="none" w:sz="0" w:space="0" w:color="auto"/>
      </w:divBdr>
    </w:div>
    <w:div w:id="864951399">
      <w:bodyDiv w:val="1"/>
      <w:marLeft w:val="0"/>
      <w:marRight w:val="0"/>
      <w:marTop w:val="0"/>
      <w:marBottom w:val="0"/>
      <w:divBdr>
        <w:top w:val="none" w:sz="0" w:space="0" w:color="auto"/>
        <w:left w:val="none" w:sz="0" w:space="0" w:color="auto"/>
        <w:bottom w:val="none" w:sz="0" w:space="0" w:color="auto"/>
        <w:right w:val="none" w:sz="0" w:space="0" w:color="auto"/>
      </w:divBdr>
    </w:div>
    <w:div w:id="1100100693">
      <w:bodyDiv w:val="1"/>
      <w:marLeft w:val="0"/>
      <w:marRight w:val="0"/>
      <w:marTop w:val="0"/>
      <w:marBottom w:val="0"/>
      <w:divBdr>
        <w:top w:val="none" w:sz="0" w:space="0" w:color="auto"/>
        <w:left w:val="none" w:sz="0" w:space="0" w:color="auto"/>
        <w:bottom w:val="none" w:sz="0" w:space="0" w:color="auto"/>
        <w:right w:val="none" w:sz="0" w:space="0" w:color="auto"/>
      </w:divBdr>
    </w:div>
    <w:div w:id="1336224663">
      <w:bodyDiv w:val="1"/>
      <w:marLeft w:val="0"/>
      <w:marRight w:val="0"/>
      <w:marTop w:val="0"/>
      <w:marBottom w:val="0"/>
      <w:divBdr>
        <w:top w:val="none" w:sz="0" w:space="0" w:color="auto"/>
        <w:left w:val="none" w:sz="0" w:space="0" w:color="auto"/>
        <w:bottom w:val="none" w:sz="0" w:space="0" w:color="auto"/>
        <w:right w:val="none" w:sz="0" w:space="0" w:color="auto"/>
      </w:divBdr>
    </w:div>
    <w:div w:id="1442653253">
      <w:bodyDiv w:val="1"/>
      <w:marLeft w:val="0"/>
      <w:marRight w:val="0"/>
      <w:marTop w:val="0"/>
      <w:marBottom w:val="0"/>
      <w:divBdr>
        <w:top w:val="none" w:sz="0" w:space="0" w:color="auto"/>
        <w:left w:val="none" w:sz="0" w:space="0" w:color="auto"/>
        <w:bottom w:val="none" w:sz="0" w:space="0" w:color="auto"/>
        <w:right w:val="none" w:sz="0" w:space="0" w:color="auto"/>
      </w:divBdr>
    </w:div>
    <w:div w:id="1495880834">
      <w:bodyDiv w:val="1"/>
      <w:marLeft w:val="0"/>
      <w:marRight w:val="0"/>
      <w:marTop w:val="0"/>
      <w:marBottom w:val="0"/>
      <w:divBdr>
        <w:top w:val="none" w:sz="0" w:space="0" w:color="auto"/>
        <w:left w:val="none" w:sz="0" w:space="0" w:color="auto"/>
        <w:bottom w:val="none" w:sz="0" w:space="0" w:color="auto"/>
        <w:right w:val="none" w:sz="0" w:space="0" w:color="auto"/>
      </w:divBdr>
    </w:div>
    <w:div w:id="1723938992">
      <w:bodyDiv w:val="1"/>
      <w:marLeft w:val="0"/>
      <w:marRight w:val="0"/>
      <w:marTop w:val="0"/>
      <w:marBottom w:val="0"/>
      <w:divBdr>
        <w:top w:val="none" w:sz="0" w:space="0" w:color="auto"/>
        <w:left w:val="none" w:sz="0" w:space="0" w:color="auto"/>
        <w:bottom w:val="none" w:sz="0" w:space="0" w:color="auto"/>
        <w:right w:val="none" w:sz="0" w:space="0" w:color="auto"/>
      </w:divBdr>
    </w:div>
    <w:div w:id="1736081296">
      <w:bodyDiv w:val="1"/>
      <w:marLeft w:val="0"/>
      <w:marRight w:val="0"/>
      <w:marTop w:val="0"/>
      <w:marBottom w:val="0"/>
      <w:divBdr>
        <w:top w:val="none" w:sz="0" w:space="0" w:color="auto"/>
        <w:left w:val="none" w:sz="0" w:space="0" w:color="auto"/>
        <w:bottom w:val="none" w:sz="0" w:space="0" w:color="auto"/>
        <w:right w:val="none" w:sz="0" w:space="0" w:color="auto"/>
      </w:divBdr>
    </w:div>
    <w:div w:id="1799644228">
      <w:bodyDiv w:val="1"/>
      <w:marLeft w:val="0"/>
      <w:marRight w:val="0"/>
      <w:marTop w:val="0"/>
      <w:marBottom w:val="0"/>
      <w:divBdr>
        <w:top w:val="none" w:sz="0" w:space="0" w:color="auto"/>
        <w:left w:val="none" w:sz="0" w:space="0" w:color="auto"/>
        <w:bottom w:val="none" w:sz="0" w:space="0" w:color="auto"/>
        <w:right w:val="none" w:sz="0" w:space="0" w:color="auto"/>
      </w:divBdr>
    </w:div>
    <w:div w:id="1898275986">
      <w:bodyDiv w:val="1"/>
      <w:marLeft w:val="0"/>
      <w:marRight w:val="0"/>
      <w:marTop w:val="0"/>
      <w:marBottom w:val="0"/>
      <w:divBdr>
        <w:top w:val="none" w:sz="0" w:space="0" w:color="auto"/>
        <w:left w:val="none" w:sz="0" w:space="0" w:color="auto"/>
        <w:bottom w:val="none" w:sz="0" w:space="0" w:color="auto"/>
        <w:right w:val="none" w:sz="0" w:space="0" w:color="auto"/>
      </w:divBdr>
    </w:div>
    <w:div w:id="1936940198">
      <w:bodyDiv w:val="1"/>
      <w:marLeft w:val="0"/>
      <w:marRight w:val="0"/>
      <w:marTop w:val="0"/>
      <w:marBottom w:val="0"/>
      <w:divBdr>
        <w:top w:val="none" w:sz="0" w:space="0" w:color="auto"/>
        <w:left w:val="none" w:sz="0" w:space="0" w:color="auto"/>
        <w:bottom w:val="none" w:sz="0" w:space="0" w:color="auto"/>
        <w:right w:val="none" w:sz="0" w:space="0" w:color="auto"/>
      </w:divBdr>
    </w:div>
    <w:div w:id="1958946806">
      <w:bodyDiv w:val="1"/>
      <w:marLeft w:val="0"/>
      <w:marRight w:val="0"/>
      <w:marTop w:val="0"/>
      <w:marBottom w:val="0"/>
      <w:divBdr>
        <w:top w:val="none" w:sz="0" w:space="0" w:color="auto"/>
        <w:left w:val="none" w:sz="0" w:space="0" w:color="auto"/>
        <w:bottom w:val="none" w:sz="0" w:space="0" w:color="auto"/>
        <w:right w:val="none" w:sz="0" w:space="0" w:color="auto"/>
      </w:divBdr>
    </w:div>
    <w:div w:id="197749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2.emf"/><Relationship Id="rId39" Type="http://schemas.openxmlformats.org/officeDocument/2006/relationships/image" Target="media/image25.emf"/><Relationship Id="rId21" Type="http://schemas.openxmlformats.org/officeDocument/2006/relationships/image" Target="media/image8.emf"/><Relationship Id="rId34" Type="http://schemas.openxmlformats.org/officeDocument/2006/relationships/image" Target="media/image20.emf"/><Relationship Id="rId42" Type="http://schemas.openxmlformats.org/officeDocument/2006/relationships/image" Target="media/image28.emf"/><Relationship Id="rId47" Type="http://schemas.openxmlformats.org/officeDocument/2006/relationships/hyperlink" Target="http://www.rijksoverheid.nl/onderwerpen/gemeenten/vraag-en-antwoord/wat-is-schatkistbankieren.html" TargetMode="External"/><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image" Target="media/image47.emf"/><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image" Target="media/image1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zondheidsatlaskennemerland.nl" TargetMode="External"/><Relationship Id="rId24" Type="http://schemas.openxmlformats.org/officeDocument/2006/relationships/image" Target="media/image10.emf"/><Relationship Id="rId32" Type="http://schemas.openxmlformats.org/officeDocument/2006/relationships/image" Target="media/image18.emf"/><Relationship Id="rId37" Type="http://schemas.openxmlformats.org/officeDocument/2006/relationships/image" Target="media/image23.emf"/><Relationship Id="rId40" Type="http://schemas.openxmlformats.org/officeDocument/2006/relationships/image" Target="media/image26.emf"/><Relationship Id="rId45" Type="http://schemas.openxmlformats.org/officeDocument/2006/relationships/image" Target="media/image31.emf"/><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footer" Target="footer5.xml"/><Relationship Id="rId28" Type="http://schemas.openxmlformats.org/officeDocument/2006/relationships/image" Target="media/image14.emf"/><Relationship Id="rId36" Type="http://schemas.openxmlformats.org/officeDocument/2006/relationships/image" Target="media/image22.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image" Target="media/image45.emf"/><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image" Target="media/image17.emf"/><Relationship Id="rId44" Type="http://schemas.openxmlformats.org/officeDocument/2006/relationships/image" Target="media/image30.emf"/><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image" Target="media/image4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21.emf"/><Relationship Id="rId43" Type="http://schemas.openxmlformats.org/officeDocument/2006/relationships/image" Target="media/image29.emf"/><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8" Type="http://schemas.openxmlformats.org/officeDocument/2006/relationships/endnotes" Target="endnotes.xml"/><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1.emf"/><Relationship Id="rId33" Type="http://schemas.openxmlformats.org/officeDocument/2006/relationships/image" Target="media/image19.emf"/><Relationship Id="rId38" Type="http://schemas.openxmlformats.org/officeDocument/2006/relationships/image" Target="media/image24.emf"/><Relationship Id="rId46" Type="http://schemas.openxmlformats.org/officeDocument/2006/relationships/hyperlink" Target="http://wetten.overheid.nl/BWBR0011987/" TargetMode="External"/><Relationship Id="rId59" Type="http://schemas.openxmlformats.org/officeDocument/2006/relationships/image" Target="media/image43.emf"/><Relationship Id="rId67" Type="http://schemas.openxmlformats.org/officeDocument/2006/relationships/theme" Target="theme/theme1.xml"/><Relationship Id="rId20" Type="http://schemas.openxmlformats.org/officeDocument/2006/relationships/footer" Target="footer4.xml"/><Relationship Id="rId41" Type="http://schemas.openxmlformats.org/officeDocument/2006/relationships/image" Target="media/image27.emf"/><Relationship Id="rId54" Type="http://schemas.openxmlformats.org/officeDocument/2006/relationships/image" Target="media/image38.emf"/><Relationship Id="rId62" Type="http://schemas.openxmlformats.org/officeDocument/2006/relationships/image" Target="media/image46.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26EF1-F404-4F2A-B4A2-DB33C782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15477</Words>
  <Characters>85124</Characters>
  <Application>Microsoft Office Word</Application>
  <DocSecurity>0</DocSecurity>
  <Lines>709</Lines>
  <Paragraphs>200</Paragraphs>
  <ScaleCrop>false</ScaleCrop>
  <HeadingPairs>
    <vt:vector size="2" baseType="variant">
      <vt:variant>
        <vt:lpstr>Titel</vt:lpstr>
      </vt:variant>
      <vt:variant>
        <vt:i4>1</vt:i4>
      </vt:variant>
    </vt:vector>
  </HeadingPairs>
  <TitlesOfParts>
    <vt:vector size="1" baseType="lpstr">
      <vt:lpstr/>
    </vt:vector>
  </TitlesOfParts>
  <Company>VRK</Company>
  <LinksUpToDate>false</LinksUpToDate>
  <CharactersWithSpaces>100401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Eveline Nelissen</dc:creator>
  <cp:lastModifiedBy>Marja Kreuk</cp:lastModifiedBy>
  <cp:revision>3</cp:revision>
  <cp:lastPrinted>2017-03-20T13:13:00Z</cp:lastPrinted>
  <dcterms:created xsi:type="dcterms:W3CDTF">2017-03-31T08:56:00Z</dcterms:created>
  <dcterms:modified xsi:type="dcterms:W3CDTF">2017-03-31T08:56:00Z</dcterms:modified>
</cp:coreProperties>
</file>